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﻿Based on the comprehensive intelligence extracted and synthesized in the CONTEXT_BRIDGE_MEMORANDUM_NOV14 documents, the status of the Sayegh vs. Sayegh (SVS) DVRO/Divorce case is positioned for a high-leverage outcome at the upcoming November 19 hearing.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confirms that all deliverables are complete, and the conservative financial forecast projects significant recovery and long-term business value for the Recovery Compass platform.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SAYEGH CASE: COMPLETE DELIVERABLES AND FINANCIAL FORECAST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execution phase, following the strategic reassessment, generated a complete set of critical legal and analytical tools for the case.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Case Strength and Deliverables Status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Sayegh case is rated in the Elite Tier with a confirmed case strength of 92/100. The foundational AI analysis for this case provided an ROI of 7,143x.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Metric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Detail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Source(s)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Case Strength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Elite Tier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92/100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Hearing Status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 November 19 hearing is 5 days away.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Evidence Utilization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Attorney confirmed review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 probability that Attorney Sara Memari will use the evidence package is estimated at 80%.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Adversary Status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Disbarred Attorney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Freddy Sayegh (State Bar #230297) was disbarred effective February 14, 2025, and is committing unauthorized practice of law.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Key Deliverables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14 items generated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Dashboards, analysis documents, and communication tools are complete.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Key Deliverables Generated: The deliverables provide a unified strategic view and include two major dashboards, five analysis documents, three communication items, and four tool improvements. These include the Sayegh Live Dashboard, the Financial Forecast (conservative, evidence-based), the Master Briefing for Nuha, the Psychological Subtext Analysis, and the Context Bridge Memorandum itself. A specific technical tool, the Wispr Flow Autocorrect, was created to solve systematic transcription errors (like Naha→Nuha).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Financial Forecast and ROI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projected financial value associated with the successful prosecution and resolution of the Sayegh case, combined with the subsequent monetization of the underlying intellectual property (IP), is exceptionally high: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Case Recovery Forecast: The projected value for the Sayegh DVRO case is estimated between $190K-$380K.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Total Financial Forecast (2 Years): The comprehensive financial forecast predicts $1.76M over 2 years.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First Payment/Support: Nuha's financial independence is projected to be 8–12 days away, with an estimated first payment of $8,500-$12,000 anticipated shortly after the November 19 hearing.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ROI Justification: The case validates the 5-Bird Platform methodology, demonstrating a proven ROI of 7,143x.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Critical Strategic Intelligence Breakthroughs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deep analysis phase yielded several "Game Changer" insights that maximize judicial leverage and platform monetization potential: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Judicial Outrage Lever: The single most impactful financial discovery is that Nuha is on food stamps while Freddy earns $480K/year. This economic disparity maximizes support orders and creates "judicial outrage," which Attorney Sara Memari plans to lead with at the November 19 hearing.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Systemic IP Opportunity: The case led to the discovery of critical systemic vulnerabilities in the CLETS/CARPOS databases (displaying a false 'adult-only' status despite the court order protecting the children). This discovery represents a Tier 1 strategic opportunity for the 5-Bird platform: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Strategic Pivot: The recommended strategy is to productize this discovery (creating playbooks and templates) rather than filing a novel systemic litigation case.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Platform Monetization: Productizing the systemic vulnerabilities is projected to generate $1.2M-$3.4M in revenue over 24 months.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RICO Pattern Documentation: The intelligence scan extracted three nuclear smoking guns in 15 minutes, confirming a multi-generational RICO pattern (including coordinated asset fraud and cross-state activity). Freddy Sayegh's disbarment is central to this pattern.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Metaphor: The Sayegh case is not just a battle; it is the "eagle that leads the formation". The successful deployment of the 5-Bird Framework in this case—using highly focused intelligence (Bird 1) to document systemic flaws and expose financial fraud—provides the battle-tested credibility needed to launch the entire Recovery Compass platform and secure the projected multi-million dollar revenue stream from its derived products.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