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﻿Based on the comprehensive intelligence extracted and synthesized in the CONTEXT_BRIDGE_MEMORANDUM_NOV14 documents, the status of the Sayegh vs. Sayegh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confirms that all deliverables are complete,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CASE: COMPLETE DELIVERABLES AND FINANCIAL FORECAST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Case Strength and Deliverables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Sayegh case is rated in the Elite Tier with a confirmed case strength of 92/100. The foundational AI analysis for this case provided an ROI of 7,143x.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Metric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Detail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Source(s)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 Strength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Elite Tier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92/100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Hearing Status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November 19 hearing is 5 days away.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Utilization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Attorney confirmed review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 probability that Attorney Sara Memari will use the evidence package is estimated at 80%.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Adversary Status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Disbarred Attorney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Freddy Sayegh (State Bar #230297) was disbarred effective February 14, 2025, and is committing unauthorized practice of law.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Deliverables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14 items generated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Dashboards, analysis documents, and communication tools are complete.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Deliverables Generated: The deliverables provide a unified strategic view and include two major dashboards, five analysis documents, three communication items, and four tool improvements. These include the Sayegh Live Dashboard, the Financial Forecast (conservative, evidence-based), the Master Briefing for Nuha, the Psychological Subtext Analysis, and the Context Bridge Memorandum itself. A specific technical tool, the Wispr Flow Autocorrect, was created to solve systematic transcription errors (like Naha→Nuha).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Financial Forecast and ROI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Case Recovery Forecast: The projected value for the Sayegh DVRO case is estimated between $190K-$380K.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Total Financial Forecast (2 Years): The comprehensive financial forecast predicts $1.76M over 2 years.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First Payment/Support: Nuha's financial independence is projected to be 8–12 days away, with an estimated first payment of $8,500-$12,000 anticipated shortly after the November 19 hearing.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ROI Justification: The case validates the 5-Bird Platform methodology, demonstrating a proven ROI of 7,143x.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Critical Strategic Intelligence Breakthroughs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Judicial Outrage Lever: The single most impactful financial discovery is that Nuha is on food stamps while Freddy earns $480K/year.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Systemic IP Opportunity: The case led to the discovery of critical systemic vulnerabilities in the CLETS/CARPOS databases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Strategic Pivot: The recommended strategy is to productize this discovery (creating playbooks and templates) rather than filing a novel systemic litigation case.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Platform Monetization: Productizing the systemic vulnerabilities is projected to generate $1.2M-$3.4M in revenue over 24 months.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RICO Pattern Documentation: The intelligence scan extracted three nuclear smoking guns in 15 minutes, confirming a multi-generational RICO pattern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Metaphor: The Sayegh case is not just a battle; it is the "eagle that leads the formation". The successful deployment of the 5-Bird Framework in this case—using highly focused intelligence (Bird 1) to document systemic flaws and expose financial fraud—provides the battle-tested credibility needed to launch the entire Recovery Compass platform and secure the projected multi-million dollar revenue stream from its derived products.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