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1  00:00</w:t>
        <w:br w:type="textWrapping"/>
        <w:t xml:space="preserve">Strategic assessment and intelligence briefing, Sayegh versus Sayegh case number, veintinko, pedrocero, mildocientos, cuarenta y ces one situational assessment and strategic imperatives, 1.1 executive overview. This briefing provides the legal team with a comprehensive analysis of the saya V Sayegh Maher, focusing on critical tactical developments and outlining a multi front strategic offensive, the adversary's documented professional misconduct, coupled with recent willful violations of court orders, has created a significant asymmetric advantage. Our core objective is to leverage these vulnerabilities to achieve the immediate safety of our client and her children, while simultaneously pursuing long term accountability for the adversary and his network of enablers. This document presents a detailed action plan to prosecute these vulnerabilities, secure a permanent restraining order and initiate the systematic dismantlement of the adversary's support structure, 1.2 current case status. The following table summarizes the key attributes of the primary legal action. All data is sourced directly from the active case file. Case attribute status details case number 20 5p, DRO 01, 1246. Court, Superior Court of California, County of Los Angeles, Pasadena, courthouse. Case type, Domestic Violence Prevention Act, dvpa, petitioner, Nuha Saye, respondent, fad Freddie Saye, active order, temporary restraining order, tree R O form dv, 110 issued September 10, 2025 scheduled hearing. ROA, October 1, 2025, scheduled hearing, ex parte. September 18, 2025, at 8:30am, in depth, 1.3 core strategic objective, the primary strategic objective, is the systematic dismantlement of the adversary's network through a coordinated three axis offensive, one, witness coalition building. Two, economic warfare via regulatory pressure, and three, a multi front litigation offensive. The immediate goal is to secure a permanent restraining order and obtain sole legal and physical custody of the minor children. The long term goal is the complete neutralization of the adversary's professional and financial network, thereby eliminating his capacity to inflict further harm. Recent tactical developments, including a blatant violation of the active restraining order, have accelerated the strategic timeline and created an opportunity to achieve immediate and decisive court intervention. Two, analysis of key tactical developments. 2.1, service of temporary restraining order. Confirming personal service of a temporary restraining order, tro is a foundational tactical milestone. It establishes the adversary's actual notice of the court's prohibitions and triggers the full enforceability of the order by law enforcement. This formal notice is a prerequisite for any subsequent contempt of court proceedings or enforcement actions arising from violations, transforming the order from a judicial directive into an actionable instrument for client protection based on the file proof of personal service, dv, 200 respondent, fat Sayegh, was personally served with the tro on September 14, 2025 at approximately 9:30am service was effectuated at the address of 1226 Sonoma, Dr Pasadena sa the File dv 200 serves as the conclusive evidentiary basis for respondents knowledge of the court's orders. 2.2 post service violation and contempt of court on September 17, 2025, at 11:01am, Respondent. FA, HUD, Sayegh willfully violated the active tro he initiated a phone call to the minor child, Mia, age 13, during which he told her that the restraining order was gone and that he would see her soon. This unsolicited communication is a direct contravention of the personal conduct and stay away provisions detailed in the DV 110 order. This action is a predictable but strategically fatal blunder by the adversary. It constitutes a direct and willful violation of a lawful court order, making it a clear act of contempt. Furthermore, as established in N, T, V, H, t2, 1019 34 Cal, da, fifth, 595 a violation of A, T, R, O is in and of itself, a further act of abuse under the Domestic Violence Prevention Act. This new act of abuse provides critical leverage for the upcoming ex parte hearing demonstrating respondents disregard for judicial authority and the immediate risk he poses to the children. In response to this violation law enforcement. Enforcement was immediately notified to create an official record and establish a predicate for criminal enforcement. Three adversary network analysis, pattern of coercive control. 3.1 profile of primary adversary, fad Freddie Saye the adversary's actions are not isolated incidents of poor judgment, but are part of a documented, long standing pattern of professional misconduct, abusive litigation tactics and coercive control. This pattern provides a clear framework for understanding his current behavior and predicting his future actions. Professional status, Fahd Freddie, Saye bar 230,297 has been not eligible to practice law in California, effective February 14, 2025 this status is the result of 16 documented acts of misconduct, including making misrepresentations and misleading judicial officers unauthorized practice of law OPL On August 15, 2025 while ineligible to practice. Sayegh moderated a legal education event for LA Fire justice. This act of holding himself out as an attorney is a direct violation of California Business and Professions Code, SSS, 6125 and 6126 a history of abuse. The record includes sworn declarations from Nuha Sayegh detailing physical beatings stalking and coercive control. This is corroborated by intelligence reports outlining a history of childhood trauma, including an eyewitness account of his father, Nabil Sayegh, physically striking him as a child, providing context for a generational pattern of violence, 3.2 analysis of CO conspirators and enablers. Fad Saye does not operate in isolation. He is supported and enabled by a family network that actively participates in and orchestrates abuse. This network functions to preserve a carefully constructed social and financial status, often at the direct expense of family members who challenge the established hierarchy, adversary, support network, key nodes and functions, participant relationship to principal parties, assessed role in coercive control. Marjeez Sayegh, mother of Nuha, mother in law of FA HUD, central orchestrator and enabler, allegedly supplied illegal drugs to Fahd that fueled his abuse of her daughter, Nuha, directly contributing to nuha's own addiction. Tina Yaqub nay Sayegh, sister of Nuha, Sister in law of FA HUD, antagonist actively participates in the campaign to discredit Nuha, aligning with the family faction opposing her. Anthony Yakub, husband of Tina, brother in law of Nuha, aggressive ally. Exhibits controlling behavior and aggressively directs personal issues outward onto Nuha. Nabeel Sayegh, father in law of Nuha, father of FA HUD, primary aggressor, enabler, history of chronic anger and violence, allegedly orchestrated a premeditated sexual assault against his own wife, Linda Nuha Sayegh petitioner's Aunt, aunt of Nuha, enabler aligned with her sister, Margie, allegedly engaged in illegal surveillance against her own ex husband. This network analysis confirms the necessity of a multi front strategy that neutralizes not only the primary adversary but also the support structure that facilitates his abusive conduct for assessment of multi domain violations, 4.1 domestic violence and family law violations, respondents conduct provides multiple Independent grounds for severe sanctions under the California Domestic Violence Prevention Act dvpa, triggering severe consequences related to personal liberty and parental rights abuse. Fam code, ss, 6203 Ss, 6320 the documented history of physical beatings, stalking and coercive control, culminating in the post service troe violation on September 17, 2025 squarely meets the statutory definition of abuse, immediate harm to child. Fam code, ss, 3064 the demonstrated and continuing pattern of domestic violence, coupled with concerns about respondents illegal access to firearms establishes immediate harm to the child and justifies the pending ex parte application for emergency custody orders. This threat is not abstract. The California Department of Justice's 2024 apps report confirms that as of January 1, 2025 4259 individuals, 16.4% of the total in the States armed and prohibited persons database are prohibited due to restraining orders, underscoring the significant public safety threat this specific. Scenario represents presumption against custody. Pham code, SS 3044 a judicial finding of domestic violence, which is strongly supported by the evidence will trigger the rebuttable presumption that an award of sole or joint, physical or legal custody of a child to the respondent would be detrimental to the best interest of the child, 4.2 unauthorized practice of law UPL and professional misconduct respondents continued engagement in law related activities while ineligible, and the supervisory failures of his associates create significant regulatory exposure and civil liability for all involved parties, providing direct avenues for attack an unauthorized practice of law B and P code. SS, 60, 125 SS, 6126 respondents, moderation of the LA Fire justice event on August 15, 2025 constitutes the unlawful practice of law, a misdemeanor offense when supervisory failures. CRPC rule 5.1 attorney Douglas boxer and his firm, Sunridge Law Group, have a direct duty to ensure compliance with professional rules their failure to supervise Saya, a known ineligible person operating under their firm's brand, exposes them to vicarious liability and State Bar discipline and State Bar Act violations. Siyon's conduct is grounds for further more severe discipline, notably, abetting the unauthorized practice of law is a stated priority for the state bar's Office of Chief trial counsel, increasing the likelihood of a swift and decisive investigation. 4.3, regulatory and compliance violations, the entities associated with respondent are operating in violation of state compliance laws, creating an additional front for regulatory enforcement a search of the California Attorney General's registry of charities and fundraisers revealed no matching record for LA Fire justice or sun Ridge Law Group. This indicates a failure to comply with mandatory registration laws for entities soliciting charitable donations in California, and forms a key basis for the economic warfare axis of the overall strategic offensive five strategic directives and action plan 5.1, immediate pre hearing directives, fortress protocol. The following actions are designed to secure the immediate safety of the petitioner and her children and to solidify our tactical position for the September 18 ex parte hearing one, enforce restraining order, transmit the conformed temporary restraining order, dv, 110 and the filed proof of personal service, dv, 200 to both the LASD temple station and lest altadina station with a formal request for priority entry into The California law enforcement telecommunication system. Klets, this action directly supports the statewide armed and prohibited persons system, apps program these public safety objectives by ensuring near real time data for responding officers, two secure emergency custody finalize and file the ex parte application for emergency custody orders. The application will be primarily based on the September 17 tro violation, citing the immediate harm standard under family code SS, 364, three, implement school safety protocols, transmit the conformed dv 110 and dv 200 to the children's schools. We will request a specific order at the hearing prohibiting the respondent from harassing or disturbing the peace at all school locations. Four, initiate asset retrieval, coordinate with the Los Angeles County Sheriff's Department to schedule a civil stand by facilitating the safe and lawful retrieval of the petitioner's essential personal belongings from the former residence. 5.2 long term objectives, spear, protocol and accountability offensive, these directives constitute the long term offensive aimed at achieving professional, regulatory and financial accountability, thereby neutralizing the adversary's capacity for future harm. One target, Supervisory failures execute and transmit the supervisory demand to Sunridge Law Group letter via email and certified mail to Attorney Douglas boxer, focusing on his duties and liability under California rule of professional conduct. 5.12, challenge entity governance. Send the governance and registry compliance inquiry letter to LA Fire justice, demanding clarification of its corporate structure, leadership and compliance with state nonprofit laws. Three, initiate regulatory investigation, file a formal inquiry with the California Attorney General's charitable trusts section detailing the non registration of LA Fire justice and a. Hatching all supporting evidence. Four, prosecute UPL, finalize and submit the comprehensive state bar complaint packet case 25 oh, 25,791 against Fahed Sayegh for the unauthorized practice of law. The packet will include all forensically hashed exhibits and a detailed analysis of the Supervisory failures of his associates six conclusion maintaining asymmetric leverage. The adversary's status as an attorney deemed not eligible to practice law who is now engaging in the documented violation of a domestic violence restraining order creates a powerful asymmetric advantage his actions simultaneously constitute contempt of court, a new act of domestic violence and further grounds for State Bar discipline. This convergence of legal peril places him in an untenable strategic position. The faithful and systematic execution of the strategic directives outlined in this briefing will create overwhelming and non negotiable leverage to compel a favorable resolution at the upcoming restraining order hearing and in all subsequent accountability proceedings.</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