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assessment and intelligence briefing, Sayegh versus Sayegh case number, veintinko, pedrocero, mildocientos, cuarenta y ces one situational assessment and strategic imperatives, 1.1 executive overview. This briefing provides the legal team with a comprehensive analysis of the saya V Sayegh Maher, focusing on critical tactical developments and outlining a multi front strategic offensive, the adversary's documented professional misconduct, coupled with recent willful violations of court orders, has created a significant asymmetric advantage. Our core objective is to leverage these vulnerabilities to achieve the immediate safety of our client and her children, while simultaneously pursuing long term accountability for the adversary and his network of enablers. This document presents a detailed action plan to prosecute these vulnerabilities, secure a permanent restraining order and initiate the systematic dismantlement of the adversary's support structure, 1.2 current case status. The following table summarizes the key attributes of the primary legal action. All data is sourced directly from the active case file. Case attribute status details case number 20 5p, DRO 01, 1246. Court, Superior Court of California, County of Los Angeles, Pasadena, courthouse. Case type, Domestic Violence Prevention Act, dvpa, petitioner, Nuha Saye, respondent, fad Freddie Saye, active order, temporary restraining order, tree R O form dv, 110 issued September 10, 2025 scheduled hearing. ROA, October 1, 2025, scheduled hearing, ex parte. September 18, 2025, at 8:30am, in depth, 1.3 core strategic objective, the primary strategic objective, is the systematic dismantlement of the adversary's network through a coordinated three axis offensive, one, witness coalition building. Two, economic warfare via regulatory pressure, and three, a multi front litigation offensive. The immediate goal is to secure a permanent restraining order and obtain sole legal and physical custody of the minor children. The long term goal is the complete neutralization of the adversary's professional and financial network, thereby eliminating his capacity to inflict further harm. Recent tactical developments, including a blatant violation of the active restraining order, have accelerated the strategic timeline and created an opportunity to achieve immediate and decisive court intervention. Two, analysis of key tactical developments. 2.1, service of temporary restraining order. Confirming personal service of a temporary restraining order, tro is a foundational tactical milestone. It establishes the adversary's actual notice of the court's prohibitions and triggers the full enforceability of the order by law enforcement. This formal notice is a prerequisite for any subsequent contempt of court proceedings or enforcement actions arising from violations, transforming the order from a judicial directive into an actionable instrument for client protection based on the file proof of personal service, dv, 200 respondent, fat Sayegh, was personally served with the tro on September 14, 2025 at approximately 9:30am service was effectuated at the address of 1226 Sonoma, Dr Pasadena sa the File dv 200 serves as the conclusive evidentiary basis for respondents knowledge of the court's orders. 2.2 post service violation and contempt of court on September 17, 2025, at 11:01am, Respondent. FA, HUD, Sayegh willfully violated the active tro he initiated a phone call to the minor child, Mia, age 13, during which he told her that the restraining order was gone and that he would see her soon. This unsolicited communication is a direct contravention of the personal conduct and stay away provisions detailed in the DV 110 order. This action is a predictable but strategically fatal blunder by the adversary. It constitutes a direct and willful violation of a lawful court order, making it a clear act of contempt. Furthermore, as established in N, T, V, H, t2, 1019 34 Cal, da, fifth, 595 a violation of A, T, R, O is in and of itself, a further act of abuse under the Domestic Violence Prevention Act. This new act of abuse provides critical leverage for the upcoming ex parte hearing demonstrating respondents disregard for judicial authority and the immediate risk he poses to the children. In response to this violation law enforcement. Enforcement was immediately notified to create an official record and establish a predicate for criminal enforcement. Three adversary network analysis, pattern of coercive control. 3.1 profile of primary adversary, fad Freddie Saye the adversary's actions are not isolated incidents of poor judgment, but are part of a documented, long standing pattern of professional misconduct, abusive litigation tactics and coercive control. This pattern provides a clear framework for understanding his current behavior and predicting his future actions. Professional status, Fahd Freddie, Saye bar 230,297 has been not eligible to practice law in California, effective February 14, 2025 this status is the result of 16 documented acts of misconduct, including making misrepresentations and misleading judicial officers unauthorized practice of law OPL On August 15, 2025 while ineligible to practice. Sayegh moderated a legal education event for LA Fire justice. This act of holding himself out as an attorney is a direct violation of California Business and Professions Code, SSS, 6125 and 6126 a history of abuse. The record includes sworn declarations from Nuha Sayegh detailing physical beatings stalking and coercive control. This is corroborated by intelligence reports outlining a history of childhood trauma, including an eyewitness account of his father, Nabil Sayegh, physically striking him as a child, providing context for a generational pattern of violence, 3.2 analysis of CO conspirators and enablers. Fad Saye does not operate in isolation. He is supported and enabled by a family network that actively participates in and orchestrates abuse. This network functions to preserve a carefully constructed social and financial status, often at the direct expense of family members who challenge the established hierarchy, adversary, support network, key nodes and functions, participant relationship to principal parties, assessed role in coercive control. Marjeez Sayegh, mother of Nuha, mother in law of FA HUD, central orchestrator and enabler, allegedly supplied illegal drugs to Fahd that fueled his abuse of her daughter, Nuha, directly contributing to nuha's own addiction. Tina Yaqub nay Sayegh, sister of Nuha, Sister in law of FA HUD, antagonist actively participates in the campaign to discredit Nuha, aligning with the family faction opposing her. Anthony Yakub, husband of Tina, brother in law of Nuha, aggressive ally. Exhibits controlling behavior and aggressively directs personal issues outward onto Nuha. Nabeel Sayegh, father in law of Nuha, father of FA HUD, primary aggressor, enabler, history of chronic anger and violence, allegedly orchestrated a premeditated sexual assault against his own wife, Linda Nuha Sayegh petitioner's Aunt, aunt of Nuha, enabler aligned with her sister, Margie, allegedly engaged in illegal surveillance against her own ex husband. This network analysis confirms the necessity of a multi front strategy that neutralizes not only the primary adversary but also the support structure that facilitates his abusive conduct for assessment of multi domain violations, 4.1 domestic violence and family law violations, respondents conduct provides multiple Independent grounds for severe sanctions under the California Domestic Violence Prevention Act dvpa, triggering severe consequences related to personal liberty and parental rights abuse. Fam code, ss, 6203 Ss, 6320 the documented history of physical beatings, stalking and coercive control, culminating in the post service troe violation on September 17, 2025 squarely meets the statutory definition of abuse, immediate harm to child. Fam code, ss, 3064 the demonstrated and continuing pattern of domestic violence, coupled with concerns about respondents illegal access to firearms establishes immediate harm to the child and justifies the pending ex parte application for emergency custody orders. This threat is not abstract. The California Department of Justice's 2024 apps report confirms that as of January 1, 2025 4259 individuals, 16.4% of the total in the States armed and prohibited persons database are prohibited due to restraining orders, underscoring the significant public safety threat this specific. Scenario represents presumption against custody. Pham code, SS 3044 a judicial finding of domestic violence, which is strongly supported by the evidence will trigger the rebuttable presumption that an award of sole or joint, physical or legal custody of a child to the respondent would be detrimental to the best interest of the child, 4.2 unauthorized practice of law UPL and professional misconduct respondents continued engagement in law related activities while ineligible, and the supervisory failures of his associates create significant regulatory exposure and civil liability for all involved parties, providing direct avenues for attack an unauthorized practice of law B and P code. SS, 60, 125 SS, 6126 respondents, moderation of the LA Fire justice event on August 15, 2025 constitutes the unlawful practice of law, a misdemeanor offense when supervisory failures. CRPC rule 5.1 attorney Douglas boxer and his firm, Sunridge Law Group, have a direct duty to ensure compliance with professional rules their failure to supervise Saya, a known ineligible person operating under their firm's brand, exposes them to vicarious liability and State Bar discipline and State Bar Act violations. Siyon's conduct is grounds for further more severe discipline, notably, abetting the unauthorized practice of law is a stated priority for the state bar's Office of Chief trial counsel, increasing the likelihood of a swift and decisive investigation. 4.3, regulatory and compliance violations, the entities associated with respondent are operating in violation of state compliance laws, creating an additional front for regulatory enforcement a search of the California Attorney General's registry of charities and fundraisers revealed no matching record for LA Fire justice or sun Ridge Law Group. This indicates a failure to comply with mandatory registration laws for entities soliciting charitable donations in California, and forms a key basis for the economic warfare axis of the overall strategic offensive five strategic directives and action plan 5.1, immediate pre hearing directives, fortress protocol. The following actions are designed to secure the immediate safety of the petitioner and her children and to solidify our tactical position for the September 18 ex parte hearing one, enforce restraining order, transmit the conformed temporary restraining order, dv, 110 and the filed proof of personal service, dv, 200 to both the LASD temple station and lest altadina station with a formal request for priority entry into The California law enforcement telecommunication system. Klets, this action directly supports the statewide armed and prohibited persons system, apps program these public safety objectives by ensuring near real time data for responding officers, two secure emergency custody finalize and file the ex parte application for emergency custody orders. The application will be primarily based on the September 17 tro violation, citing the immediate harm standard under family code SS, 364, three, implement school safety protocols, transmit the conformed dv 110 and dv 200 to the children's schools. We will request a specific order at the hearing prohibiting the respondent from harassing or disturbing the peace at all school locations. Four, initiate asset retrieval, coordinate with the Los Angeles County Sheriff's Department to schedule a civil stand by facilitating the safe and lawful retrieval of the petitioner's essential personal belongings from the former residence. 5.2 long term objectives, spear, protocol and accountability offensive, these directives constitute the long term offensive aimed at achieving professional, regulatory and financial accountability, thereby neutralizing the adversary's capacity for future harm. One target, Supervisory failures execute and transmit the supervisory demand to Sunridge Law Group letter via email and certified mail to Attorney Douglas boxer, focusing on his duties and liability under California rule of professional conduct. 5.12, challenge entity governance. Send the governance and registry compliance inquiry letter to LA Fire justice, demanding clarification of its corporate structure, leadership and compliance with state nonprofit laws. Three, initiate regulatory investigation, file a formal inquiry with the California Attorney General's charitable trusts section detailing the non registration of LA Fire justice and a. Hatching all supporting evidence. Four, prosecute UPL, finalize and submit the comprehensive state bar complaint packet case 25 oh, 25,791 against Fahed Sayegh for the unauthorized practice of law. The packet will include all forensically hashed exhibits and a detailed analysis of the Supervisory failures of his associates six conclusion maintaining asymmetric leverage. The adversary's status as an attorney deemed not eligible to practice law who is now engaging in the documented violation of a domestic violence restraining order creates a powerful asymmetric advantage his actions simultaneously constitute contempt of court, a new act of domestic violence and further grounds for State Bar discipline. This convergence of legal peril places him in an untenable strategic position. The faithful and systematic execution of the strategic directives outlined in this briefing will create overwhelming and non negotiable leverage to compel a favorable resolution at the upcoming restraining order hearing and in all subsequent accountability proceedings.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