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52.0152282714844" w:right="600.9271240234375" w:firstLine="0"/>
        <w:jc w:val="center"/>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Strategic Assessment &amp; Intelligence Briefing: Sayegh v. Sayegh (Case No. 25PDRO01246)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0703125" w:line="431.92880630493164" w:lineRule="auto"/>
        <w:ind w:left="30.540008544921875" w:right="700.078125" w:firstLine="6.3200378417968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1.0 Situational Assessment and Strategic Imperatives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1.1 Executive Overview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9599609375" w:right="111.81640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briefing provides the legal team with a comprehensive analysis of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Sayegh v. Sayegh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 focusing on critical tactical developments and outlining a multi-front strategic offensive. The adversary's documented professional misconduct, coupled with recent, willful violations of court orders, has created a significant asymmetric advantage. Our core objective is to leverage these vulnerabilities to achieve the immediate safety of our client and her children while simultaneously pursuing long-term accountability for the adversary and his network of enablers. This document presents a detailed action plan to prosecute these vulnerabilities, secure a permanent restraining order, and initiate the systematic dismantlement of the adversary's support structure.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3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1.2 Current Case Status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7.480010986328125" w:right="42.64404296875" w:hanging="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table summarizes the key attributes of the primary legal action. All data is sourced directly from the active case file. </w:t>
      </w:r>
    </w:p>
    <w:tbl>
      <w:tblPr>
        <w:tblStyle w:val="Table1"/>
        <w:tblW w:w="9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60"/>
        <w:tblGridChange w:id="0">
          <w:tblGrid>
            <w:gridCol w:w="2820"/>
            <w:gridCol w:w="646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Status/Details</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25PDRO01246</w:t>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64.3717384338379" w:lineRule="auto"/>
              <w:ind w:left="141.00006103515625" w:right="166.71875" w:hanging="1.1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Superior Court of California, County of Los Angeles (Pasadena Courthouse)</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Type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Domestic Violence Prevention Act (DVPA)</w:t>
      </w:r>
    </w:p>
    <w:tbl>
      <w:tblPr>
        <w:tblStyle w:val="Table2"/>
        <w:tblW w:w="9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60"/>
        <w:tblGridChange w:id="0">
          <w:tblGrid>
            <w:gridCol w:w="2820"/>
            <w:gridCol w:w="646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Petitioner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0398559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"Freddy" Sayegh</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Active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64.3717384338379" w:lineRule="auto"/>
              <w:ind w:left="137.919921875" w:right="612.347412109375" w:hanging="2.8598022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Temporary Restraining Order (TRO), Form DV-110, issued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10,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920074462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Scheduled Hearing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34.185791015625" w:line="240" w:lineRule="auto"/>
              <w:ind w:left="126.439971923828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460144042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1, 2025</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64.3717384338379" w:lineRule="auto"/>
              <w:ind w:left="131.06002807617188" w:right="269.722900390625" w:hanging="8.1399536132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Scheduled Hearing (Ex 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91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18, 2025, at 8:30 AM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Dept. S.</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4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1.3 Core Strategic Objective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64.3717384338379" w:lineRule="auto"/>
        <w:ind w:left="12.859954833984375" w:right="34.4885253906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strategic objective is the systematic dismantlement of the adversary's network through a coordinated three-axis offensive: (1) witness coalition building, (2) economic warfare via regulatory pressure, and (3) a multi-front litigation offensive. The immediate goal is to secure a permanent restraining order and obtain sole legal and physical custody of the minor children. The long-term goal is the complete neutralization of the adversary's professional and financial network, thereby eliminating his capacity to inflict further harm. Recent tactical developments, including a blatant violation of the active restraining order, have accelerated the strategic timeline and created an opportunity to achieve immediate and decisive court intervention.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18.5000610351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2.0 Analysis of Key Tactical Developments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9266357421875" w:line="240" w:lineRule="auto"/>
        <w:ind w:left="1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2.1 Service of Temporary Restraining Order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64.3717384338379" w:lineRule="auto"/>
        <w:ind w:left="11.97998046875" w:right="80.322265625" w:firstLine="9.02008056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Confirming personal service of a Temporary Restraining Order (TRO) is a foundational tactical milestone. It establishes the adversary's actual notice of the court's prohibitions and triggers the full enforceability of the order by law enforcement. This formal notice is a prerequisite for any subsequent contempt of court proceedings or enforcement actions arising from violations, transforming the order from a judicial directive into an actionable instrument for client protection.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659942626953125" w:right="110.93017578125" w:firstLine="15.4000854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filed Proof of Personal Service (DV-200), Respondent Fahed Sayegh was personally served with the TRO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14, 2025, at approximately 9:30 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was effectuated at the address of 1226 Sonoma Drive, Pasadena, CA. The filed DV-200 serves as the conclusive evidentiary basis for Respondent’s knowledge of the court's orders.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6.499938964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 Post-Service Violation and Contempt of Court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231063842773" w:lineRule="auto"/>
        <w:ind w:left="15.059967041015625" w:right="78.71215820312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17, 2025, at 11:01 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Respondent Fahed Sayegh willfully violated the active TRO. He initiated a phone call to the minor child, Mia (age 13), during which he told her that the restraining order was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he would see her soon. This unsolicited communication is a direct contravention of the personal-conduct and stay-away provisions detailed in the DV-110 order.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041015625" w:line="264.3720531463623" w:lineRule="auto"/>
        <w:ind w:left="11.97998046875" w:right="9.6923828125" w:firstLine="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is a predictable but strategically fatal blunder by the adversary. It constitutes a direct and willful violation of a lawful court order, making it a clear act of contempt. Furthermore, as established in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N.T. v. 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 34 Cal.App.5th 595, a violation of a TRO is, in and of itself, a further act of abuse under the Domestic Violence Prevention Act. This new act of abuse provides critical leverage for the upcoming ex parte hearing, demonstrating Respondent's disregard for judicial authority and the immediate risk he poses to the children. In response to this violation, law enforcement was immediately notified to create an official record and establish a predicate for criminal enforcement.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0634765625" w:line="264.3731689453125" w:lineRule="auto"/>
        <w:ind w:left="25.980072021484375" w:right="850.916748046875" w:hanging="3.0599975585937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3.0 Adversary Network Analysis: Pattern of Coercive Control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171875" w:line="240" w:lineRule="auto"/>
        <w:ind w:left="1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 Profile of Primary Adversary: Fahed "Freddy" Sayegh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64.3710231781006" w:lineRule="auto"/>
        <w:ind w:left="17.480010986328125" w:right="83.475341796875" w:hanging="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adversary's actions are not isolated incidents of poor judgment but are part of a documented, long-standing pattern of professional misconduct, abusive litigation tactics, and coercive control. This pattern provides a clear framework for understanding his current behavior and predicting his future actions.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26513671875" w:line="264.3724822998047" w:lineRule="auto"/>
        <w:ind w:left="720.0999450683594" w:right="36.539306640625" w:hanging="330.959930419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Professional Status: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"Freddy" Sayegh (Bar #230297) has been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Eligible to Practice Law"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California effective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February 14,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status is the result of 16 documented acts of misconduct, including making misrepresentations and misleading judicial officers.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24822998047" w:lineRule="auto"/>
        <w:ind w:left="738.800048828125" w:right="55.60058593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Unauthorized Practice of Law (UPL):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August 15,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ineligible to practice, Sayegh moderated a "legal education event" for "LA Fire Justice." This act of holding himself out as an attorney is a direct violation of California Business &amp; Professions Code §§ 6125 and 6126(a).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389.1400146484375" w:right="141.690673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History of Abuse: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record includes sworn declarations from Nuha Sayegh detailing physical beatings, stalking, and coercive control. This is corroborated by intelligence reports outlining a history of childhood trauma, including an eyewitness account of his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37.0399475097656" w:right="1008.7298583984375" w:hanging="5.05996704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father, Nabiel Sayegh, physically striking him as a child, providing context for a generational pattern of violence.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130859375" w:line="240" w:lineRule="auto"/>
        <w:ind w:left="1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3.2 Analysis of Co-Conspirators and Enablers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30078125" w:line="264.3710231781006" w:lineRule="auto"/>
        <w:ind w:left="10.659942626953125" w:right="205.382080078125" w:firstLine="17.3800659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 Sayegh does not operate in isolation. He is supported and enabled by a family network that actively participates in and orchestrates abuse. This network functions to preserve a carefully constructed social and financial status, often at the direct expense of family members who challenge the established hierarchy.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14453125" w:line="240" w:lineRule="auto"/>
        <w:ind w:left="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Adversary Support Network: Key Nodes and Functions</w:t>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2100"/>
        <w:gridCol w:w="5120"/>
        <w:tblGridChange w:id="0">
          <w:tblGrid>
            <w:gridCol w:w="2120"/>
            <w:gridCol w:w="2100"/>
            <w:gridCol w:w="512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2.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to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4.183349609375" w:line="240" w:lineRule="auto"/>
              <w:ind w:left="141.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 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Assessed Role in Coercive Control</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619964599609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Margie Sayegh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64.3717384338379" w:lineRule="auto"/>
              <w:ind w:left="141.2799072265625" w:right="378.4564208984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Mother of Nuha; Mother-in-law of Fahed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64.3710231781006" w:lineRule="auto"/>
              <w:ind w:left="128.9599609375" w:right="151.21826171875" w:firstLine="7.0397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Orchestrator and Enabler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Allegedly supplied illegal drugs to Fahed that fueled his abuse of her daughter, Nuha, directly contributing to Nuha's own addiction.</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64.369535446167" w:lineRule="auto"/>
              <w:ind w:left="122.92007446289062" w:right="160.1348876953125" w:hanging="3.30001831054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Tina Yacoub (née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of Nuha;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4.1827392578125" w:line="240" w:lineRule="auto"/>
              <w:ind w:left="134.8999023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Sister-in-law of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4.1876220703125" w:line="240" w:lineRule="auto"/>
              <w:ind w:left="143.0398559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64.3717384338379" w:lineRule="auto"/>
              <w:ind w:left="128.9599609375" w:right="128.129882812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Antagonist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Actively participates in the campaign to discredit Nuha, aligning with the family faction opposing her.</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Anthony Yacoub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64.3717384338379" w:lineRule="auto"/>
              <w:ind w:left="141.05987548828125" w:right="288.7213134765625" w:firstLine="1.5402221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Husband of Tina; Brother-in-law of Nuha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64.3717384338379" w:lineRule="auto"/>
              <w:ind w:left="132.2601318359375" w:right="163.984375" w:hanging="7.26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Aggressive 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Exhibits controlling behavior and aggressively directs personal issues outward onto Nuha.</w:t>
            </w:r>
          </w:p>
        </w:tc>
      </w:tr>
      <w:tr>
        <w:trPr>
          <w:cantSplit w:val="0"/>
          <w:trHeight w:val="15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Nabiel Sayegh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0398559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Father-in-law of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34.1827392578125" w:line="240" w:lineRule="auto"/>
              <w:ind w:left="141.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Father of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34.1876220703125" w:line="240" w:lineRule="auto"/>
              <w:ind w:left="143.03985595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64.3717384338379" w:lineRule="auto"/>
              <w:ind w:left="132.919921875" w:right="168.817138671875" w:firstLine="8.14025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Aggressor / Enabler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of chronic anger and violence; allegedly orchestrated a premeditated sexual assault against his own wife.</w:t>
            </w:r>
          </w:p>
        </w:tc>
      </w:tr>
      <w:tr>
        <w:trPr>
          <w:cantSplit w:val="0"/>
          <w:trHeight w:val="15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Linda Nuha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34.1876220703125" w:line="240" w:lineRule="auto"/>
              <w:ind w:left="122.920074462890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Sayegh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34.1877746582031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(Petitioner's Aunt)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Aunt of Nuha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64.3739700317383" w:lineRule="auto"/>
              <w:ind w:left="133.1402587890625" w:right="156.151123046875" w:firstLine="7.91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Enabler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Aligned with her sister Margie; allegedly engaged in illegal surveillance against her own ex-husband.</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3.9599609375" w:right="328.18725585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network analysis confirms the necessity of a multi-front strategy that neutralizes not only the primary adversary but also the support structure that facilitates his abusive conduct.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98193359375" w:line="240" w:lineRule="auto"/>
        <w:ind w:left="16.4599609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4.0 Assessment of Multi-Domain Violations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9541015625" w:line="240" w:lineRule="auto"/>
        <w:ind w:left="1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4.1 Domestic Violence and Family Law Violations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69535446167" w:lineRule="auto"/>
        <w:ind w:left="21.00006103515625" w:right="50.6018066406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Respondent's conduct provides multiple, independent grounds for severe sanctions under the California Domestic Violence Prevention Act (DVPA), triggering severe consequences related to personal liberty and parental rights.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64.3717384338379" w:lineRule="auto"/>
        <w:ind w:left="389.1400146484375" w:right="577.3413085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Abuse (Fam. Code § 6203, § 6320):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documented history of physical beatings, stalking, and coercive control, culminating in the post-service TRO violation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17,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squarely meets the statutory definition of "abuse."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20531463623" w:lineRule="auto"/>
        <w:ind w:left="733.9599609375" w:right="161.16333007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Harm to Child (Fam. Code § 3064):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demonstrated and continuing pattern of domestic violence, coupled with concerns about Respondent's illegal access to firearms, establishes "immediate harm to the child" and justifies the pending ex parte application for emergency custody orders. This threat is not abstract; the California Department of Justice's 2024 APPS report confirms that as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January 1,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4,259 individuals (16.4% of the total)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state's armed and prohibited persons database are prohibited due to restraining orders, underscoring the significant public safety threat this specific scenario represents.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24822998047" w:lineRule="auto"/>
        <w:ind w:left="732.8599548339844" w:right="513.538818359375" w:hanging="343.7199401855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Presumption Against Custody (Fam. Code § 3044):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judicial finding of domestic violence, which is strongly supported by the evidence, will trigger the rebuttable presumption that an award of sole or joint physical or legal custody of a child to the Respondent would be detrimental to the best interest of the child.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09619140625" w:line="240" w:lineRule="auto"/>
        <w:ind w:left="1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 Unauthorized Practice of Law (UPL) and Professional Misconduct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64.3739700317383" w:lineRule="auto"/>
        <w:ind w:left="16.820068359375" w:right="120.29541015625" w:firstLine="10.559997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Respondent's continued engagement in law-related activities while ineligible, and the supervisory failures of his associates, create significant regulatory exposure and civil liability for all involved parties, providing direct avenues for attack.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990478515625" w:line="264.3739700317383" w:lineRule="auto"/>
        <w:ind w:left="737.2599792480469" w:right="112.27783203125" w:hanging="348.119964599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Unauthorized Practice of Law (B&amp;P Code § 6125, § 6126):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Respondent's moderation of the "LA Fire Justice" event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August 15, 2025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constitutes the unlawful practice of law, a misdemeanor offense.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64.3724822998047" w:lineRule="auto"/>
        <w:ind w:left="733.9599609375" w:right="31.12548828125" w:hanging="344.8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Supervisory Failures (CRPC Rule 5.1):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Douglas Boxer and his firm, Sunridge Law Group, have a direct duty to ensure compliance with professional rules. Their failure to supervise Sayegh, a known ineligible person operating under their firm's brand, exposes them to vicarious liability and State Bar discipline.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25395202637" w:lineRule="auto"/>
        <w:ind w:left="737.4800109863281" w:right="86.953125" w:hanging="348.3399963378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 Bar Act Violations: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Sayegh's conduct is grounds for further, more severe discipline. Notably, abetting the unauthorized practice of law is a stated priority for the State Bar's Office of Chief Trial Counsel, increasing the likelihood of a swift and decisive investigation.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 Regulatory and Compliance Violations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30078125" w:line="264.3713092803955" w:lineRule="auto"/>
        <w:ind w:left="15.059967041015625" w:right="89.66064453125" w:hanging="0.879974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entities associated with Respondent are operating in violation of state compliance laws, creating an additional front for regulatory enforcement. A search of the California Attorney General's Registry of Charities and Fundraisers revealed no matching record for "LA Fire Justice" or "Sunridge Law Group." This indicates a failure to comply with mandatory registration laws for entities soliciting charitable donations in California and forms a key basis for the "Economic Warfare" axis of the overall strategic offensive.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5517578125" w:line="240" w:lineRule="auto"/>
        <w:ind w:left="24.9600219726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5.0 Strategic Directives and Action Plan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9052734375" w:line="240" w:lineRule="auto"/>
        <w:ind w:left="21.439971923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5.1 Immediate Pre-Hearing Directives (Fortress Protocol)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39700317383" w:lineRule="auto"/>
        <w:ind w:left="18.58001708984375" w:right="546.7797851562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actions are designed to secure the immediate safety of the petitioner and her children and to solidify our tactical position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parte hearing.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21675872803" w:lineRule="auto"/>
        <w:ind w:left="736.820068359375" w:right="127.9541015625" w:hanging="342.84011840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Enforce Restraining Order: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Transmit the conformed Temporary Restraining Order (DV-110) and the filed Proof of Personal Service (DV-200) to both the LASD Temple Station and LASD Altadena Station with a formal request for priority entry into the California Law Enforcement Telecommunications System (CLETS). This action directly supports the statewide Armed and Prohibited Persons System (APPS) program's public safety objectives by ensuring near-real-time data for responding officers.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3134765625" w:line="264.369535446167" w:lineRule="auto"/>
        <w:ind w:left="732.8599548339844" w:right="157.904052734375" w:hanging="356.47994995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Secure Emergency Custody: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 and file the Ex Parte Application for Emergency Custody Orders. The application will be primarily based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 violation, citing the "immediate harm" standard under Family Code § 3064.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39700317383" w:lineRule="auto"/>
        <w:ind w:left="733.9599609375" w:right="252.29248046875" w:hanging="354.7200012207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 School Safety Protocols: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Transmit the conformed DV-110 and DV-200 to the children's schools. We will request a specific order at the hearing prohibiting the Respondent from harassing or disturbing the peace at all school locations.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64.369535446167" w:lineRule="auto"/>
        <w:ind w:left="733.9599609375" w:right="184.996337890625" w:hanging="361.1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Initiate Asset Retrieval: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Coordinate with the Los Angeles County Sheriff's Department to schedule a Civil Standby, facilitating the safe and lawful retrieval of the petitioner's essential personal belongings from the former residence.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82861328125" w:line="240" w:lineRule="auto"/>
        <w:ind w:left="21.439971923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5.2 Long-Term Objectives (Spear Protocol &amp; Accountability Offensive)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72314453125" w:line="264.3739700317383" w:lineRule="auto"/>
        <w:ind w:left="17.920074462890625" w:right="193.1994628906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directives constitute the long-term offensive aimed at achieving professional, regulatory, and financial accountability, thereby neutralizing the adversary's capacity for future harm.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64.369535446167" w:lineRule="auto"/>
        <w:ind w:left="731.97998046875" w:right="442.193603515625" w:hanging="338.00003051757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Supervisory Failures: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and transmit the "Supervisory Demand to Sunridge Law Group" letter via email and certified mail to attorney Douglas Boxer, focusing on his duties and liability under California Rule of Professional Conduct 5.1.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39700317383" w:lineRule="auto"/>
        <w:ind w:left="744.0800476074219" w:right="587.96875" w:hanging="367.70004272460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Challenge Entity Governance: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the "Governance and Registry Compliance Inquiry" letter to "LA Fire Justice," demanding clarification of its corporate structure, leadership, and compliance with state nonprofit laws.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37.9200744628906" w:right="0" w:hanging="358.680114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Initiate Regulatory Investigation: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 formal inquiry with the California Attorney General's Charitable Trusts Section detailing the non-registration of "LA Fire Justice" and attaching all supporting evidence.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10231781006" w:lineRule="auto"/>
        <w:ind w:left="736.820068359375" w:right="372.70751953125" w:hanging="363.960113525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Prosecute UPL: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 and submit the comprehensive State Bar complaint packet (Case 25-O-25791) against Fahed Sayegh for the Unauthorized Practice of Law. The packet will include all forensically hashed exhibits and a detailed analysis of the supervisory failures of his associates.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673828125" w:line="240" w:lineRule="auto"/>
        <w:ind w:left="24.27993774414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6.0 Conclusion: Maintaining Asymmetric Leverage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8076171875" w:line="264.37145233154297" w:lineRule="auto"/>
        <w:ind w:left="15.059967041015625" w:right="54.92187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adversary's status as an attorney deemed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Eligible to Practice Law"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now engaging in the documented violation of a domestic violence restraining order creates a powerful asymmetric advantage. His actions simultaneously constitute contempt of court, a new act of domestic violence, and further grounds for State Bar discipline. This convergence of legal peril places him in an untenable strategic position. The faithful and systematic execution of the strategic directives outlined in this briefing will create overwhelming and non-negotiable leverage to compel a favorable resolution at the upcoming restraining order hearing and in all subsequent accountability proceedings.</w:t>
      </w:r>
    </w:p>
    <w:sectPr>
      <w:pgSz w:h="15840" w:w="12240" w:orient="portrait"/>
      <w:pgMar w:bottom="1575.8494567871094" w:top="1423.876953125" w:left="1430" w:right="1405.373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