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Below is your revised </w:t>
      </w:r>
      <w:r w:rsidDel="00000000" w:rsidR="00000000" w:rsidRPr="00000000">
        <w:rPr>
          <w:b w:val="1"/>
          <w:bCs w:val="1"/>
          <w:rtl w:val="0"/>
        </w:rPr>
        <w:t xml:space="preserve">State of the Union</w:t>
      </w:r>
      <w:r w:rsidDel="00000000" w:rsidR="00000000" w:rsidRPr="00000000">
        <w:rPr>
          <w:rtl w:val="0"/>
        </w:rPr>
        <w:t xml:space="preserve"> and an optimized </w:t>
      </w:r>
      <w:r w:rsidDel="00000000" w:rsidR="00000000" w:rsidRPr="00000000">
        <w:rPr>
          <w:b w:val="1"/>
          <w:bCs w:val="1"/>
          <w:rtl w:val="0"/>
        </w:rPr>
        <w:t xml:space="preserve">approach to leverage the support network</w:t>
      </w:r>
      <w:r w:rsidDel="00000000" w:rsidR="00000000" w:rsidRPr="00000000">
        <w:rPr>
          <w:rtl w:val="0"/>
        </w:rPr>
        <w:t xml:space="preserve">, delivered as a formal, court‑appropriate memorandum. It folds in your latest feedback, aligns to a </w:t>
      </w:r>
      <w:r w:rsidDel="00000000" w:rsidR="00000000" w:rsidRPr="00000000">
        <w:rPr>
          <w:b w:val="1"/>
          <w:bCs w:val="1"/>
          <w:rtl w:val="0"/>
        </w:rPr>
        <w:t xml:space="preserve">privilege‑first</w:t>
      </w:r>
      <w:r w:rsidDel="00000000" w:rsidR="00000000" w:rsidRPr="00000000">
        <w:rPr>
          <w:rtl w:val="0"/>
        </w:rPr>
        <w:t xml:space="preserve">, </w:t>
      </w:r>
      <w:r w:rsidDel="00000000" w:rsidR="00000000" w:rsidRPr="00000000">
        <w:rPr>
          <w:b w:val="1"/>
          <w:bCs w:val="1"/>
          <w:rtl w:val="0"/>
        </w:rPr>
        <w:t xml:space="preserve">safety‑first</w:t>
      </w:r>
      <w:r w:rsidDel="00000000" w:rsidR="00000000" w:rsidRPr="00000000">
        <w:rPr>
          <w:rtl w:val="0"/>
        </w:rPr>
        <w:t xml:space="preserve"> doctrine, and tightens the legal scaffolding around coercive‑control proof, witness protection, and coalition operations.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tqc9gzgxi0u5" w:id="0"/>
      <w:bookmarkEnd w:id="0"/>
      <w:r w:rsidDel="00000000" w:rsidR="00000000" w:rsidRPr="00000000">
        <w:rPr>
          <w:b w:val="1"/>
          <w:bCs w:val="1"/>
          <w:rtl w:val="0"/>
        </w:rPr>
        <w:t xml:space="preserve">Strategic Framework for Coalition Development &amp; Action: Sayegh Matter</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As of:</w:t>
      </w:r>
      <w:r w:rsidDel="00000000" w:rsidR="00000000" w:rsidRPr="00000000">
        <w:rPr>
          <w:rtl w:val="0"/>
        </w:rPr>
        <w:t xml:space="preserve"> Thursday, September 11, 2025 (PDT)</w:t>
        <w:br w:type="textWrapping"/>
      </w:r>
      <w:r w:rsidDel="00000000" w:rsidR="00000000" w:rsidRPr="00000000">
        <w:rPr>
          <w:b w:val="1"/>
          <w:bCs w:val="1"/>
          <w:rtl w:val="0"/>
        </w:rPr>
        <w:t xml:space="preserve">Prepared by:</w:t>
      </w:r>
      <w:r w:rsidDel="00000000" w:rsidR="00000000" w:rsidRPr="00000000">
        <w:rPr>
          <w:rtl w:val="0"/>
        </w:rPr>
        <w:t xml:space="preserve"> Trauma‑Informed Legal Strategy &amp; Crisis Management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18dfxrdo8xgk" w:id="1"/>
      <w:bookmarkEnd w:id="1"/>
      <w:r w:rsidDel="00000000" w:rsidR="00000000" w:rsidRPr="00000000">
        <w:rPr>
          <w:b w:val="1"/>
          <w:bCs w:val="1"/>
          <w:rtl w:val="0"/>
        </w:rPr>
        <w:t xml:space="preserve">I. Executive Summary (Updated “State of the Union”)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Operational posture.</w:t>
      </w:r>
      <w:r w:rsidDel="00000000" w:rsidR="00000000" w:rsidRPr="00000000">
        <w:rPr>
          <w:rtl w:val="0"/>
        </w:rPr>
        <w:t xml:space="preserve"> Your immediate protective infrastructure is in place (school compliance; OPSEC baselines communicated). The regulator track is live (Bar UPL complaint acknowledged), and the governance track has been initiated (host inquiry sent). The coalition of allies (Joyce, Joyce’s father, Filippo, plus prospective complainants) is forming. We now pivot from ad‑hoc defense to </w:t>
      </w:r>
      <w:r w:rsidDel="00000000" w:rsidR="00000000" w:rsidRPr="00000000">
        <w:rPr>
          <w:b w:val="1"/>
          <w:bCs w:val="1"/>
          <w:rtl w:val="0"/>
        </w:rPr>
        <w:t xml:space="preserve">counsel‑directed, privilege‑protected coalition operations</w:t>
      </w:r>
      <w:r w:rsidDel="00000000" w:rsidR="00000000" w:rsidRPr="00000000">
        <w:rPr>
          <w:rtl w:val="0"/>
        </w:rPr>
        <w:t xml:space="preserve"> that (1) lock in safety; (2) harden evidence; and (3) build a single “pattern‑and‑practice” narrative tailored to </w:t>
      </w:r>
      <w:r w:rsidDel="00000000" w:rsidR="00000000" w:rsidRPr="00000000">
        <w:rPr>
          <w:b w:val="1"/>
          <w:bCs w:val="1"/>
          <w:rtl w:val="0"/>
        </w:rPr>
        <w:t xml:space="preserve">California Family Code §6320</w:t>
      </w:r>
      <w:r w:rsidDel="00000000" w:rsidR="00000000" w:rsidRPr="00000000">
        <w:rPr>
          <w:rtl w:val="0"/>
        </w:rPr>
        <w:t xml:space="preserve"> coercive‑control elements for the DVRO proceedings and related actions. </w:t>
      </w:r>
      <w:hyperlink r:id="rId6">
        <w:r w:rsidDel="00000000" w:rsidR="00000000" w:rsidRPr="00000000">
          <w:rPr>
            <w:color w:val="1155cc"/>
            <w:u w:val="single"/>
            <w:rtl w:val="0"/>
          </w:rPr>
          <w:t xml:space="preserve">Orange County Bar Association+1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Strategic aim (next 30–45 days).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5"/>
        </w:numPr>
        <w:ind w:left="720" w:hanging="360"/>
        <w:rPr/>
      </w:pPr>
      <w:r w:rsidDel="00000000" w:rsidR="00000000" w:rsidRPr="00000000">
        <w:rPr>
          <w:b w:val="1"/>
          <w:bCs w:val="1"/>
          <w:rtl w:val="0"/>
        </w:rPr>
        <w:t xml:space="preserve">Fortify</w:t>
      </w:r>
      <w:r w:rsidDel="00000000" w:rsidR="00000000" w:rsidRPr="00000000">
        <w:rPr>
          <w:rtl w:val="0"/>
        </w:rPr>
        <w:t xml:space="preserve">: Stand up secure communications under a </w:t>
      </w:r>
      <w:r w:rsidDel="00000000" w:rsidR="00000000" w:rsidRPr="00000000">
        <w:rPr>
          <w:b w:val="1"/>
          <w:bCs w:val="1"/>
          <w:rtl w:val="0"/>
        </w:rPr>
        <w:t xml:space="preserve">common‑interest / joint‑prosecution</w:t>
      </w:r>
      <w:r w:rsidDel="00000000" w:rsidR="00000000" w:rsidRPr="00000000">
        <w:rPr>
          <w:rtl w:val="0"/>
        </w:rPr>
        <w:t xml:space="preserve"> umbrella to avoid privilege waiver and discovery sprawl. </w:t>
      </w:r>
      <w:hyperlink r:id="rId7">
        <w:r w:rsidDel="00000000" w:rsidR="00000000" w:rsidRPr="00000000">
          <w:rPr>
            <w:color w:val="1155cc"/>
            <w:u w:val="single"/>
            <w:rtl w:val="0"/>
          </w:rPr>
          <w:t xml:space="preserve">Cal Corporate Law</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0"/>
          <w:numId w:val="5"/>
        </w:numPr>
        <w:ind w:left="720" w:hanging="360"/>
        <w:rPr/>
      </w:pPr>
      <w:r w:rsidDel="00000000" w:rsidR="00000000" w:rsidRPr="00000000">
        <w:rPr>
          <w:b w:val="1"/>
          <w:bCs w:val="1"/>
          <w:rtl w:val="0"/>
        </w:rPr>
        <w:t xml:space="preserve">Unify</w:t>
      </w:r>
      <w:r w:rsidDel="00000000" w:rsidR="00000000" w:rsidRPr="00000000">
        <w:rPr>
          <w:rtl w:val="0"/>
        </w:rPr>
        <w:t xml:space="preserve">: Convert each ally’s story into declaration‑ready statements mapped to §6320 categories (surveillance/monitoring, isolation, financial control, threats, reputational coercion). </w:t>
      </w:r>
      <w:hyperlink r:id="rId8">
        <w:r w:rsidDel="00000000" w:rsidR="00000000" w:rsidRPr="00000000">
          <w:rPr>
            <w:color w:val="1155cc"/>
            <w:u w:val="single"/>
            <w:rtl w:val="0"/>
          </w:rPr>
          <w:t xml:space="preserve">Orange County Bar Association</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0"/>
          <w:numId w:val="5"/>
        </w:numPr>
        <w:ind w:left="720" w:hanging="360"/>
        <w:rPr/>
      </w:pPr>
      <w:r w:rsidDel="00000000" w:rsidR="00000000" w:rsidRPr="00000000">
        <w:rPr>
          <w:b w:val="1"/>
          <w:bCs w:val="1"/>
          <w:rtl w:val="0"/>
        </w:rPr>
        <w:t xml:space="preserve">Pressure lawfully</w:t>
      </w:r>
      <w:r w:rsidDel="00000000" w:rsidR="00000000" w:rsidRPr="00000000">
        <w:rPr>
          <w:rtl w:val="0"/>
        </w:rPr>
        <w:t xml:space="preserve">: Deploy targeted, non‑public filings and governance inquiries that increase institutional oversight and deterrence (witness‑intimidation alerts if needed; board/host policy clarifications; regulator follow‑ups) while minimizing defamation exposure and retaliation risk. </w:t>
      </w:r>
      <w:hyperlink r:id="rId9">
        <w:r w:rsidDel="00000000" w:rsidR="00000000" w:rsidRPr="00000000">
          <w:rPr>
            <w:color w:val="1155cc"/>
            <w:u w:val="single"/>
            <w:rtl w:val="0"/>
          </w:rPr>
          <w:t xml:space="preserve">California.Public.Law+1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Licensure language discipline.</w:t>
      </w:r>
      <w:r w:rsidDel="00000000" w:rsidR="00000000" w:rsidRPr="00000000">
        <w:rPr>
          <w:rtl w:val="0"/>
        </w:rPr>
        <w:t xml:space="preserve"> Wherever Mr. Sayegh’s license is referenced externally, </w:t>
      </w:r>
      <w:r w:rsidDel="00000000" w:rsidR="00000000" w:rsidRPr="00000000">
        <w:rPr>
          <w:b w:val="1"/>
          <w:bCs w:val="1"/>
          <w:rtl w:val="0"/>
        </w:rPr>
        <w:t xml:space="preserve">mirror the public license‑status wording</w:t>
      </w:r>
      <w:r w:rsidDel="00000000" w:rsidR="00000000" w:rsidRPr="00000000">
        <w:rPr>
          <w:rtl w:val="0"/>
        </w:rPr>
        <w:t xml:space="preserve"> (e.g., “</w:t>
      </w:r>
      <w:r w:rsidDel="00000000" w:rsidR="00000000" w:rsidRPr="00000000">
        <w:rPr>
          <w:b w:val="1"/>
          <w:bCs w:val="1"/>
          <w:rtl w:val="0"/>
        </w:rPr>
        <w:t xml:space="preserve">Not Eligible to Practice Law</w:t>
      </w:r>
      <w:r w:rsidDel="00000000" w:rsidR="00000000" w:rsidRPr="00000000">
        <w:rPr>
          <w:rtl w:val="0"/>
        </w:rPr>
        <w:t xml:space="preserve">”) and avoid “disbarred” unless the official record shows it. This is a critical defamation and credibility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h2t2c7w1g9ni" w:id="2"/>
      <w:bookmarkEnd w:id="2"/>
      <w:r w:rsidDel="00000000" w:rsidR="00000000" w:rsidRPr="00000000">
        <w:rPr>
          <w:b w:val="1"/>
          <w:bCs w:val="1"/>
          <w:rtl w:val="0"/>
        </w:rPr>
        <w:t xml:space="preserve">II. Risk / Benefit Analysis</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Opportunity (Benefits).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8"/>
        </w:numPr>
        <w:ind w:left="720" w:hanging="360"/>
        <w:rPr/>
      </w:pPr>
      <w:r w:rsidDel="00000000" w:rsidR="00000000" w:rsidRPr="00000000">
        <w:rPr>
          <w:b w:val="1"/>
          <w:bCs w:val="1"/>
          <w:rtl w:val="0"/>
        </w:rPr>
        <w:t xml:space="preserve">Credibility and corroboration:</w:t>
      </w:r>
      <w:r w:rsidDel="00000000" w:rsidR="00000000" w:rsidRPr="00000000">
        <w:rPr>
          <w:rtl w:val="0"/>
        </w:rPr>
        <w:t xml:space="preserve"> Multiple independent witnesses across time strengthen a </w:t>
      </w:r>
      <w:r w:rsidDel="00000000" w:rsidR="00000000" w:rsidRPr="00000000">
        <w:rPr>
          <w:b w:val="1"/>
          <w:bCs w:val="1"/>
          <w:rtl w:val="0"/>
        </w:rPr>
        <w:t xml:space="preserve">pattern‑and‑practice</w:t>
      </w:r>
      <w:r w:rsidDel="00000000" w:rsidR="00000000" w:rsidRPr="00000000">
        <w:rPr>
          <w:rtl w:val="0"/>
        </w:rPr>
        <w:t xml:space="preserve"> showing under §6320, which recognizes coercive control (“disturbing the peace” through controlling behavior) as domestic abuse supporting restraining orders. </w:t>
      </w:r>
      <w:hyperlink r:id="rId10">
        <w:r w:rsidDel="00000000" w:rsidR="00000000" w:rsidRPr="00000000">
          <w:rPr>
            <w:color w:val="1155cc"/>
            <w:u w:val="single"/>
            <w:rtl w:val="0"/>
          </w:rPr>
          <w:t xml:space="preserve">Bruce Cornblum Law</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8"/>
        </w:numPr>
        <w:ind w:left="720" w:hanging="360"/>
        <w:rPr/>
      </w:pPr>
      <w:r w:rsidDel="00000000" w:rsidR="00000000" w:rsidRPr="00000000">
        <w:rPr>
          <w:b w:val="1"/>
          <w:bCs w:val="1"/>
          <w:rtl w:val="0"/>
        </w:rPr>
        <w:t xml:space="preserve">Institutional traction:</w:t>
      </w:r>
      <w:r w:rsidDel="00000000" w:rsidR="00000000" w:rsidRPr="00000000">
        <w:rPr>
          <w:rtl w:val="0"/>
        </w:rPr>
        <w:t xml:space="preserve"> Regulator and host organizations respond to structured, evidence‑led submissions that avoid polemics and show precise policy/legal hooks.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0"/>
          <w:numId w:val="8"/>
        </w:numPr>
        <w:ind w:left="720" w:hanging="360"/>
        <w:rPr/>
      </w:pPr>
      <w:r w:rsidDel="00000000" w:rsidR="00000000" w:rsidRPr="00000000">
        <w:rPr>
          <w:b w:val="1"/>
          <w:bCs w:val="1"/>
          <w:rtl w:val="0"/>
        </w:rPr>
        <w:t xml:space="preserve">Asymmetric leverage:</w:t>
      </w:r>
      <w:r w:rsidDel="00000000" w:rsidR="00000000" w:rsidRPr="00000000">
        <w:rPr>
          <w:rtl w:val="0"/>
        </w:rPr>
        <w:t xml:space="preserve"> Quiet, lawful filings (Bar/licensing, governance, intimidation alerts) create </w:t>
      </w:r>
      <w:r w:rsidDel="00000000" w:rsidR="00000000" w:rsidRPr="00000000">
        <w:rPr>
          <w:b w:val="1"/>
          <w:bCs w:val="1"/>
          <w:rtl w:val="0"/>
        </w:rPr>
        <w:t xml:space="preserve">external guardrails</w:t>
      </w:r>
      <w:r w:rsidDel="00000000" w:rsidR="00000000" w:rsidRPr="00000000">
        <w:rPr>
          <w:rtl w:val="0"/>
        </w:rPr>
        <w:t xml:space="preserve"> around the network without public escalation.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Risk (and Mitigation).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8"/>
        </w:numPr>
        <w:ind w:left="720" w:hanging="360"/>
        <w:rPr/>
      </w:pPr>
      <w:r w:rsidDel="00000000" w:rsidR="00000000" w:rsidRPr="00000000">
        <w:rPr>
          <w:b w:val="1"/>
          <w:bCs w:val="1"/>
          <w:rtl w:val="0"/>
        </w:rPr>
        <w:t xml:space="preserve">Retaliation / intimidation</w:t>
      </w:r>
      <w:r w:rsidDel="00000000" w:rsidR="00000000" w:rsidRPr="00000000">
        <w:rPr>
          <w:rtl w:val="0"/>
        </w:rPr>
        <w:t xml:space="preserve"> (digital tracking, threats, doxxing): Implement </w:t>
      </w:r>
      <w:r w:rsidDel="00000000" w:rsidR="00000000" w:rsidRPr="00000000">
        <w:rPr>
          <w:b w:val="1"/>
          <w:bCs w:val="1"/>
          <w:rtl w:val="0"/>
        </w:rPr>
        <w:t xml:space="preserve">address‑confidentiality (Safe at Home)</w:t>
      </w:r>
      <w:r w:rsidDel="00000000" w:rsidR="00000000" w:rsidRPr="00000000">
        <w:rPr>
          <w:rtl w:val="0"/>
        </w:rPr>
        <w:t xml:space="preserve">, hardened comms, and reporting pathways for intimidation (</w:t>
      </w:r>
      <w:r w:rsidDel="00000000" w:rsidR="00000000" w:rsidRPr="00000000">
        <w:rPr>
          <w:b w:val="1"/>
          <w:bCs w:val="1"/>
          <w:rtl w:val="0"/>
        </w:rPr>
        <w:t xml:space="preserve">Penal Code §136.1</w:t>
      </w:r>
      <w:r w:rsidDel="00000000" w:rsidR="00000000" w:rsidRPr="00000000">
        <w:rPr>
          <w:rtl w:val="0"/>
        </w:rPr>
        <w:t xml:space="preserve">) with </w:t>
      </w:r>
      <w:r w:rsidDel="00000000" w:rsidR="00000000" w:rsidRPr="00000000">
        <w:rPr>
          <w:b w:val="1"/>
          <w:bCs w:val="1"/>
          <w:rtl w:val="0"/>
        </w:rPr>
        <w:t xml:space="preserve">protective‑order</w:t>
      </w:r>
      <w:r w:rsidDel="00000000" w:rsidR="00000000" w:rsidRPr="00000000">
        <w:rPr>
          <w:rtl w:val="0"/>
        </w:rPr>
        <w:t xml:space="preserve"> reinforcement under </w:t>
      </w:r>
      <w:r w:rsidDel="00000000" w:rsidR="00000000" w:rsidRPr="00000000">
        <w:rPr>
          <w:b w:val="1"/>
          <w:bCs w:val="1"/>
          <w:rtl w:val="0"/>
        </w:rPr>
        <w:t xml:space="preserve">§136.2</w:t>
      </w:r>
      <w:r w:rsidDel="00000000" w:rsidR="00000000" w:rsidRPr="00000000">
        <w:rPr>
          <w:rtl w:val="0"/>
        </w:rPr>
        <w:t xml:space="preserve"> as needed. </w:t>
      </w:r>
      <w:hyperlink r:id="rId11">
        <w:r w:rsidDel="00000000" w:rsidR="00000000" w:rsidRPr="00000000">
          <w:rPr>
            <w:color w:val="1155cc"/>
            <w:u w:val="single"/>
            <w:rtl w:val="0"/>
          </w:rPr>
          <w:t xml:space="preserve">vLex+1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0"/>
          <w:numId w:val="8"/>
        </w:numPr>
        <w:ind w:left="720" w:hanging="360"/>
        <w:rPr/>
      </w:pPr>
      <w:r w:rsidDel="00000000" w:rsidR="00000000" w:rsidRPr="00000000">
        <w:rPr>
          <w:b w:val="1"/>
          <w:bCs w:val="1"/>
          <w:rtl w:val="0"/>
        </w:rPr>
        <w:t xml:space="preserve">Privilege waiver / discoverability:</w:t>
      </w:r>
      <w:r w:rsidDel="00000000" w:rsidR="00000000" w:rsidRPr="00000000">
        <w:rPr>
          <w:rtl w:val="0"/>
        </w:rPr>
        <w:t xml:space="preserve"> Channel all coalition work product </w:t>
      </w:r>
      <w:r w:rsidDel="00000000" w:rsidR="00000000" w:rsidRPr="00000000">
        <w:rPr>
          <w:b w:val="1"/>
          <w:bCs w:val="1"/>
          <w:rtl w:val="0"/>
        </w:rPr>
        <w:t xml:space="preserve">through counsel</w:t>
      </w:r>
      <w:r w:rsidDel="00000000" w:rsidR="00000000" w:rsidRPr="00000000">
        <w:rPr>
          <w:rtl w:val="0"/>
        </w:rPr>
        <w:t xml:space="preserve"> under a written </w:t>
      </w:r>
      <w:r w:rsidDel="00000000" w:rsidR="00000000" w:rsidRPr="00000000">
        <w:rPr>
          <w:b w:val="1"/>
          <w:bCs w:val="1"/>
          <w:rtl w:val="0"/>
        </w:rPr>
        <w:t xml:space="preserve">common‑interest</w:t>
      </w:r>
      <w:r w:rsidDel="00000000" w:rsidR="00000000" w:rsidRPr="00000000">
        <w:rPr>
          <w:rtl w:val="0"/>
        </w:rPr>
        <w:t xml:space="preserve"> (OXY Resources) framework to prevent waiver (Evid. Code §§ 952, 912 context). </w:t>
      </w:r>
      <w:hyperlink r:id="rId12">
        <w:r w:rsidDel="00000000" w:rsidR="00000000" w:rsidRPr="00000000">
          <w:rPr>
            <w:color w:val="1155cc"/>
            <w:u w:val="single"/>
            <w:rtl w:val="0"/>
          </w:rPr>
          <w:t xml:space="preserve">Cal Corporate Law</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0"/>
          <w:numId w:val="8"/>
        </w:numPr>
        <w:ind w:left="720" w:hanging="360"/>
        <w:rPr/>
      </w:pPr>
      <w:r w:rsidDel="00000000" w:rsidR="00000000" w:rsidRPr="00000000">
        <w:rPr>
          <w:b w:val="1"/>
          <w:bCs w:val="1"/>
          <w:rtl w:val="0"/>
        </w:rPr>
        <w:t xml:space="preserve">Defamation / anti‑SLAPP exposure:</w:t>
      </w:r>
      <w:r w:rsidDel="00000000" w:rsidR="00000000" w:rsidRPr="00000000">
        <w:rPr>
          <w:rtl w:val="0"/>
        </w:rPr>
        <w:t xml:space="preserve"> Keep external statements neutral, evidence‑anchored, and purpose‑limited; reserve detailed allegations for protected fora (court/regulators). Reference </w:t>
      </w:r>
      <w:r w:rsidDel="00000000" w:rsidR="00000000" w:rsidRPr="00000000">
        <w:rPr>
          <w:b w:val="1"/>
          <w:bCs w:val="1"/>
          <w:rtl w:val="0"/>
        </w:rPr>
        <w:t xml:space="preserve">CCP §425.16</w:t>
      </w:r>
      <w:r w:rsidDel="00000000" w:rsidR="00000000" w:rsidRPr="00000000">
        <w:rPr>
          <w:rtl w:val="0"/>
        </w:rPr>
        <w:t xml:space="preserve"> exposure in planning to minimize risk. </w:t>
      </w:r>
      <w:hyperlink r:id="rId13">
        <w:r w:rsidDel="00000000" w:rsidR="00000000" w:rsidRPr="00000000">
          <w:rPr>
            <w:color w:val="1155cc"/>
            <w:u w:val="single"/>
            <w:rtl w:val="0"/>
          </w:rPr>
          <w:t xml:space="preserve">Justia Law</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8"/>
        </w:numPr>
        <w:ind w:left="720" w:hanging="360"/>
        <w:rPr/>
      </w:pPr>
      <w:r w:rsidDel="00000000" w:rsidR="00000000" w:rsidRPr="00000000">
        <w:rPr>
          <w:b w:val="1"/>
          <w:bCs w:val="1"/>
          <w:rtl w:val="0"/>
        </w:rPr>
        <w:t xml:space="preserve">Comms compromise:</w:t>
      </w:r>
      <w:r w:rsidDel="00000000" w:rsidR="00000000" w:rsidRPr="00000000">
        <w:rPr>
          <w:rtl w:val="0"/>
        </w:rPr>
        <w:t xml:space="preserve"> Use end‑to‑end encrypted tools with disciplined user behavior (device hardening, auto‑delete, no cloud backups) recognizing that </w:t>
      </w:r>
      <w:r w:rsidDel="00000000" w:rsidR="00000000" w:rsidRPr="00000000">
        <w:rPr>
          <w:b w:val="1"/>
          <w:bCs w:val="1"/>
          <w:rtl w:val="0"/>
        </w:rPr>
        <w:t xml:space="preserve">tools are only as safe as user practices</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n8ilygahjlp" w:id="3"/>
      <w:bookmarkEnd w:id="3"/>
      <w:r w:rsidDel="00000000" w:rsidR="00000000" w:rsidRPr="00000000">
        <w:rPr>
          <w:b w:val="1"/>
          <w:bCs w:val="1"/>
          <w:rtl w:val="0"/>
        </w:rPr>
        <w:t xml:space="preserve">III. Strategic Options — Phased Approach (Counsel‑Directed)</w:t>
      </w:r>
      <w:r w:rsidDel="00000000" w:rsidR="00000000" w:rsidRPr="00000000">
        <w:rPr>
          <w:rtl w:val="0"/>
        </w:rPr>
      </w:r>
    </w:p>
    <w:p w:rsidR="00000000" w:rsidDel="00000000" w:rsidP="00000000" w:rsidRDefault="00000000" w:rsidRPr="00000000" w14:paraId="0000002B">
      <w:pPr>
        <w:pStyle w:val="Heading3"/>
        <w:rPr/>
      </w:pPr>
      <w:bookmarkStart w:colFirst="0" w:colLast="0" w:name="_wn7z01743x5t" w:id="4"/>
      <w:bookmarkEnd w:id="4"/>
      <w:r w:rsidDel="00000000" w:rsidR="00000000" w:rsidRPr="00000000">
        <w:rPr>
          <w:b w:val="1"/>
          <w:bCs w:val="1"/>
          <w:rtl w:val="0"/>
        </w:rPr>
        <w:t xml:space="preserve">Phase 1 — Foundation &amp; Fortification (go now)</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Objective:</w:t>
      </w:r>
      <w:r w:rsidDel="00000000" w:rsidR="00000000" w:rsidRPr="00000000">
        <w:rPr>
          <w:rtl w:val="0"/>
        </w:rPr>
        <w:t xml:space="preserve"> Create a legally hardened, survivor‑safe operating picture.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rPr/>
      </w:pPr>
      <w:r w:rsidDel="00000000" w:rsidR="00000000" w:rsidRPr="00000000">
        <w:rPr>
          <w:b w:val="1"/>
          <w:bCs w:val="1"/>
          <w:rtl w:val="0"/>
        </w:rPr>
        <w:t xml:space="preserve">Privilege shell (24–72h).</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1"/>
          <w:numId w:val="4"/>
        </w:numPr>
        <w:ind w:left="1440" w:hanging="360"/>
        <w:rPr/>
      </w:pPr>
      <w:r w:rsidDel="00000000" w:rsidR="00000000" w:rsidRPr="00000000">
        <w:rPr>
          <w:rtl w:val="0"/>
        </w:rPr>
        <w:t xml:space="preserve">Circulate and execute a </w:t>
      </w:r>
      <w:r w:rsidDel="00000000" w:rsidR="00000000" w:rsidRPr="00000000">
        <w:rPr>
          <w:b w:val="1"/>
          <w:bCs w:val="1"/>
          <w:rtl w:val="0"/>
        </w:rPr>
        <w:t xml:space="preserve">Counsel‑Directed Common‑Interest / Joint‑Prosecution Memorandum</w:t>
      </w:r>
      <w:r w:rsidDel="00000000" w:rsidR="00000000" w:rsidRPr="00000000">
        <w:rPr>
          <w:rtl w:val="0"/>
        </w:rPr>
        <w:t xml:space="preserve"> (JCM) covering Nuha, Joyce, Joyce’s father (to the extent relevant), Filippo, and vetted new entrants. Include scope (Sayegh network), sharing rules, and exit provisions. (OXY Resources; Evid. Code §§952/912 doctrines). </w:t>
      </w:r>
      <w:hyperlink r:id="rId14">
        <w:r w:rsidDel="00000000" w:rsidR="00000000" w:rsidRPr="00000000">
          <w:rPr>
            <w:color w:val="1155cc"/>
            <w:u w:val="single"/>
            <w:rtl w:val="0"/>
          </w:rPr>
          <w:t xml:space="preserve">Cal Corporate Law</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4"/>
        </w:numPr>
        <w:ind w:left="720" w:hanging="360"/>
        <w:rPr/>
      </w:pPr>
      <w:r w:rsidDel="00000000" w:rsidR="00000000" w:rsidRPr="00000000">
        <w:rPr>
          <w:b w:val="1"/>
          <w:bCs w:val="1"/>
          <w:rtl w:val="0"/>
        </w:rPr>
        <w:t xml:space="preserve">Secure communications &amp; OPSEC.</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1"/>
          <w:numId w:val="4"/>
        </w:numPr>
        <w:ind w:left="1440" w:hanging="360"/>
        <w:rPr/>
      </w:pPr>
      <w:r w:rsidDel="00000000" w:rsidR="00000000" w:rsidRPr="00000000">
        <w:rPr>
          <w:b w:val="1"/>
          <w:bCs w:val="1"/>
          <w:rtl w:val="0"/>
        </w:rPr>
        <w:t xml:space="preserve">Primary:</w:t>
      </w:r>
      <w:r w:rsidDel="00000000" w:rsidR="00000000" w:rsidRPr="00000000">
        <w:rPr>
          <w:rtl w:val="0"/>
        </w:rPr>
        <w:t xml:space="preserve"> Signal or equivalent, device‑PINs, disappearing messages, </w:t>
      </w:r>
      <w:r w:rsidDel="00000000" w:rsidR="00000000" w:rsidRPr="00000000">
        <w:rPr>
          <w:b w:val="1"/>
          <w:bCs w:val="1"/>
          <w:rtl w:val="0"/>
        </w:rPr>
        <w:t xml:space="preserve">no cloud backups</w:t>
      </w:r>
      <w:r w:rsidDel="00000000" w:rsidR="00000000" w:rsidRPr="00000000">
        <w:rPr>
          <w:rtl w:val="0"/>
        </w:rPr>
        <w:t xml:space="preserve">, no mixed personal/work devices; mandate contact verification and minimal “reply‑all”. </w:t>
      </w:r>
      <w:r w:rsidDel="00000000" w:rsidR="00000000" w:rsidRPr="00000000">
        <w:rPr>
          <w:b w:val="1"/>
          <w:bCs w:val="1"/>
          <w:rtl w:val="0"/>
        </w:rPr>
        <w:t xml:space="preserve">Behavioral discipline</w:t>
      </w:r>
      <w:r w:rsidDel="00000000" w:rsidR="00000000" w:rsidRPr="00000000">
        <w:rPr>
          <w:rtl w:val="0"/>
        </w:rPr>
        <w:t xml:space="preserve"> is essential—news reports underscore that missteps, not crypto, cause compromise.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6">
      <w:pPr>
        <w:numPr>
          <w:ilvl w:val="1"/>
          <w:numId w:val="4"/>
        </w:numPr>
        <w:ind w:left="1440" w:hanging="360"/>
        <w:rPr/>
      </w:pPr>
      <w:r w:rsidDel="00000000" w:rsidR="00000000" w:rsidRPr="00000000">
        <w:rPr>
          <w:b w:val="1"/>
          <w:bCs w:val="1"/>
          <w:rtl w:val="0"/>
        </w:rPr>
        <w:t xml:space="preserve">Physical privacy:</w:t>
      </w:r>
      <w:r w:rsidDel="00000000" w:rsidR="00000000" w:rsidRPr="00000000">
        <w:rPr>
          <w:rtl w:val="0"/>
        </w:rPr>
        <w:t xml:space="preserve"> Enroll eligible members in </w:t>
      </w:r>
      <w:r w:rsidDel="00000000" w:rsidR="00000000" w:rsidRPr="00000000">
        <w:rPr>
          <w:b w:val="1"/>
          <w:bCs w:val="1"/>
          <w:rtl w:val="0"/>
        </w:rPr>
        <w:t xml:space="preserve">Safe at Home</w:t>
      </w:r>
      <w:r w:rsidDel="00000000" w:rsidR="00000000" w:rsidRPr="00000000">
        <w:rPr>
          <w:rtl w:val="0"/>
        </w:rPr>
        <w:t xml:space="preserve"> (CA address‑confidentiality) and standard mail‑drop protocols. </w:t>
      </w:r>
      <w:hyperlink r:id="rId15">
        <w:r w:rsidDel="00000000" w:rsidR="00000000" w:rsidRPr="00000000">
          <w:rPr>
            <w:color w:val="1155cc"/>
            <w:u w:val="single"/>
            <w:rtl w:val="0"/>
          </w:rPr>
          <w:t xml:space="preserve">vLex</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b w:val="1"/>
          <w:bCs w:val="1"/>
          <w:rtl w:val="0"/>
        </w:rPr>
        <w:t xml:space="preserve">Evidence hardening.</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1"/>
          <w:numId w:val="4"/>
        </w:numPr>
        <w:ind w:left="1440" w:hanging="360"/>
        <w:rPr/>
      </w:pPr>
      <w:r w:rsidDel="00000000" w:rsidR="00000000" w:rsidRPr="00000000">
        <w:rPr>
          <w:rtl w:val="0"/>
        </w:rPr>
        <w:t xml:space="preserve">Intake all artifacts (audio, screenshots, emails) into a counsel‑controlled repository; capture </w:t>
      </w:r>
      <w:r w:rsidDel="00000000" w:rsidR="00000000" w:rsidRPr="00000000">
        <w:rPr>
          <w:b w:val="1"/>
          <w:bCs w:val="1"/>
          <w:rtl w:val="0"/>
        </w:rPr>
        <w:t xml:space="preserve">source, date/time, device</w:t>
      </w:r>
      <w:r w:rsidDel="00000000" w:rsidR="00000000" w:rsidRPr="00000000">
        <w:rPr>
          <w:rtl w:val="0"/>
        </w:rPr>
        <w:t xml:space="preserve">, and produce a </w:t>
      </w:r>
      <w:r w:rsidDel="00000000" w:rsidR="00000000" w:rsidRPr="00000000">
        <w:rPr>
          <w:b w:val="1"/>
          <w:bCs w:val="1"/>
          <w:rtl w:val="0"/>
        </w:rPr>
        <w:t xml:space="preserve">read‑only PDF/A</w:t>
      </w:r>
      <w:r w:rsidDel="00000000" w:rsidR="00000000" w:rsidRPr="00000000">
        <w:rPr>
          <w:rtl w:val="0"/>
        </w:rPr>
        <w:t xml:space="preserve"> with embedded source note; compute a </w:t>
      </w:r>
      <w:r w:rsidDel="00000000" w:rsidR="00000000" w:rsidRPr="00000000">
        <w:rPr>
          <w:b w:val="1"/>
          <w:bCs w:val="1"/>
          <w:rtl w:val="0"/>
        </w:rPr>
        <w:t xml:space="preserve">hash</w:t>
      </w:r>
      <w:r w:rsidDel="00000000" w:rsidR="00000000" w:rsidRPr="00000000">
        <w:rPr>
          <w:rtl w:val="0"/>
        </w:rPr>
        <w:t xml:space="preserve"> per file (e.g., SHA‑256) and maintain a chain log (received‑by, who touched it, when).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C">
      <w:pPr>
        <w:numPr>
          <w:ilvl w:val="1"/>
          <w:numId w:val="4"/>
        </w:numPr>
        <w:ind w:left="1440" w:hanging="360"/>
        <w:rPr/>
      </w:pPr>
      <w:r w:rsidDel="00000000" w:rsidR="00000000" w:rsidRPr="00000000">
        <w:rPr>
          <w:rtl w:val="0"/>
        </w:rPr>
        <w:t xml:space="preserve">Immediately flag content that may show </w:t>
      </w:r>
      <w:r w:rsidDel="00000000" w:rsidR="00000000" w:rsidRPr="00000000">
        <w:rPr>
          <w:b w:val="1"/>
          <w:bCs w:val="1"/>
          <w:rtl w:val="0"/>
        </w:rPr>
        <w:t xml:space="preserve">intimidation/dissuasion</w:t>
      </w:r>
      <w:r w:rsidDel="00000000" w:rsidR="00000000" w:rsidRPr="00000000">
        <w:rPr>
          <w:rtl w:val="0"/>
        </w:rPr>
        <w:t xml:space="preserve"> for potential </w:t>
      </w:r>
      <w:r w:rsidDel="00000000" w:rsidR="00000000" w:rsidRPr="00000000">
        <w:rPr>
          <w:b w:val="1"/>
          <w:bCs w:val="1"/>
          <w:rtl w:val="0"/>
        </w:rPr>
        <w:t xml:space="preserve">Penal Code §136.1</w:t>
      </w:r>
      <w:r w:rsidDel="00000000" w:rsidR="00000000" w:rsidRPr="00000000">
        <w:rPr>
          <w:rtl w:val="0"/>
        </w:rPr>
        <w:t xml:space="preserve"> reporting if threats escalate. </w:t>
      </w:r>
      <w:hyperlink r:id="rId16">
        <w:r w:rsidDel="00000000" w:rsidR="00000000" w:rsidRPr="00000000">
          <w:rPr>
            <w:color w:val="1155cc"/>
            <w:u w:val="single"/>
            <w:rtl w:val="0"/>
          </w:rPr>
          <w:t xml:space="preserve">California.Public.Law</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4"/>
        </w:numPr>
        <w:ind w:left="720" w:hanging="360"/>
        <w:rPr/>
      </w:pPr>
      <w:r w:rsidDel="00000000" w:rsidR="00000000" w:rsidRPr="00000000">
        <w:rPr>
          <w:b w:val="1"/>
          <w:bCs w:val="1"/>
          <w:rtl w:val="0"/>
        </w:rPr>
        <w:t xml:space="preserve">Threat triage &amp; safety planning.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1"/>
          <w:numId w:val="4"/>
        </w:numPr>
        <w:ind w:left="1440" w:hanging="360"/>
        <w:rPr/>
      </w:pPr>
      <w:r w:rsidDel="00000000" w:rsidR="00000000" w:rsidRPr="00000000">
        <w:rPr>
          <w:rtl w:val="0"/>
        </w:rPr>
        <w:t xml:space="preserve">Weekly threat review for each ally (likelihood × impact). Elevate to counsel + LE if any credible threat to life/safety; seek protective‑order modifications consistent with </w:t>
      </w:r>
      <w:r w:rsidDel="00000000" w:rsidR="00000000" w:rsidRPr="00000000">
        <w:rPr>
          <w:b w:val="1"/>
          <w:bCs w:val="1"/>
          <w:rtl w:val="0"/>
        </w:rPr>
        <w:t xml:space="preserve">§136.2</w:t>
      </w:r>
      <w:r w:rsidDel="00000000" w:rsidR="00000000" w:rsidRPr="00000000">
        <w:rPr>
          <w:rtl w:val="0"/>
        </w:rPr>
        <w:t xml:space="preserve"> provisions. </w:t>
      </w:r>
      <w:hyperlink r:id="rId17">
        <w:r w:rsidDel="00000000" w:rsidR="00000000" w:rsidRPr="00000000">
          <w:rPr>
            <w:color w:val="1155cc"/>
            <w:u w:val="single"/>
            <w:rtl w:val="0"/>
          </w:rPr>
          <w:t xml:space="preserve">California.Public.Law</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rPr/>
      </w:pPr>
      <w:bookmarkStart w:colFirst="0" w:colLast="0" w:name="_aipxsl7m9bnc" w:id="5"/>
      <w:bookmarkEnd w:id="5"/>
      <w:r w:rsidDel="00000000" w:rsidR="00000000" w:rsidRPr="00000000">
        <w:rPr>
          <w:b w:val="1"/>
          <w:bCs w:val="1"/>
          <w:rtl w:val="0"/>
        </w:rPr>
        <w:t xml:space="preserve">Phase 2 — Coordinated Defense &amp; Narrative Building</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Objective:</w:t>
      </w:r>
      <w:r w:rsidDel="00000000" w:rsidR="00000000" w:rsidRPr="00000000">
        <w:rPr>
          <w:rtl w:val="0"/>
        </w:rPr>
        <w:t xml:space="preserve"> Convert lived experiences into a single, admissible “pattern‑and‑practice” record for the DVRO and related proceedings.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rPr/>
      </w:pPr>
      <w:r w:rsidDel="00000000" w:rsidR="00000000" w:rsidRPr="00000000">
        <w:rPr>
          <w:b w:val="1"/>
          <w:bCs w:val="1"/>
          <w:rtl w:val="0"/>
        </w:rPr>
        <w:t xml:space="preserve">§6320 Matrix Build.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1"/>
          <w:numId w:val="1"/>
        </w:numPr>
        <w:ind w:left="1440" w:hanging="360"/>
        <w:rPr/>
      </w:pPr>
      <w:r w:rsidDel="00000000" w:rsidR="00000000" w:rsidRPr="00000000">
        <w:rPr>
          <w:rtl w:val="0"/>
        </w:rPr>
        <w:t xml:space="preserve">For each ally, capture discrete incidents and tag to </w:t>
      </w:r>
      <w:r w:rsidDel="00000000" w:rsidR="00000000" w:rsidRPr="00000000">
        <w:rPr>
          <w:b w:val="1"/>
          <w:bCs w:val="1"/>
          <w:rtl w:val="0"/>
        </w:rPr>
        <w:t xml:space="preserve">coercive‑control</w:t>
      </w:r>
      <w:r w:rsidDel="00000000" w:rsidR="00000000" w:rsidRPr="00000000">
        <w:rPr>
          <w:rtl w:val="0"/>
        </w:rPr>
        <w:t xml:space="preserve"> sub‑elements (monitoring/surveillance, isolation, economic abuse, threats, reputational harm, third‑party enlistment). Use plain‑language, date‑anchored paragraphs; attach corroboration (texts, call logs, bank activity). </w:t>
      </w:r>
      <w:hyperlink r:id="rId18">
        <w:r w:rsidDel="00000000" w:rsidR="00000000" w:rsidRPr="00000000">
          <w:rPr>
            <w:color w:val="1155cc"/>
            <w:u w:val="single"/>
            <w:rtl w:val="0"/>
          </w:rPr>
          <w:t xml:space="preserve">Bruce Cornblum Law</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rPr/>
      </w:pPr>
      <w:r w:rsidDel="00000000" w:rsidR="00000000" w:rsidRPr="00000000">
        <w:rPr>
          <w:b w:val="1"/>
          <w:bCs w:val="1"/>
          <w:rtl w:val="0"/>
        </w:rPr>
        <w:t xml:space="preserve">Declaration pipeline (counsel‑drafted).</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1"/>
        </w:numPr>
        <w:ind w:left="1440" w:hanging="360"/>
        <w:rPr/>
      </w:pPr>
      <w:r w:rsidDel="00000000" w:rsidR="00000000" w:rsidRPr="00000000">
        <w:rPr>
          <w:rtl w:val="0"/>
        </w:rPr>
        <w:t xml:space="preserve">Draft declarations (Nuha primary; Joyce and Filippo as corroborating declarants) with </w:t>
      </w:r>
      <w:r w:rsidDel="00000000" w:rsidR="00000000" w:rsidRPr="00000000">
        <w:rPr>
          <w:b w:val="1"/>
          <w:bCs w:val="1"/>
          <w:rtl w:val="0"/>
        </w:rPr>
        <w:t xml:space="preserve">alleged</w:t>
      </w:r>
      <w:r w:rsidDel="00000000" w:rsidR="00000000" w:rsidRPr="00000000">
        <w:rPr>
          <w:rtl w:val="0"/>
        </w:rPr>
        <w:t xml:space="preserve"> markers where not adjudicated; keep tone factual, avoid character conclusions.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E">
      <w:pPr>
        <w:numPr>
          <w:ilvl w:val="1"/>
          <w:numId w:val="1"/>
        </w:numPr>
        <w:ind w:left="1440" w:hanging="360"/>
        <w:rPr/>
      </w:pPr>
      <w:r w:rsidDel="00000000" w:rsidR="00000000" w:rsidRPr="00000000">
        <w:rPr>
          <w:rtl w:val="0"/>
        </w:rPr>
        <w:t xml:space="preserve">Build a </w:t>
      </w:r>
      <w:r w:rsidDel="00000000" w:rsidR="00000000" w:rsidRPr="00000000">
        <w:rPr>
          <w:b w:val="1"/>
          <w:bCs w:val="1"/>
          <w:rtl w:val="0"/>
        </w:rPr>
        <w:t xml:space="preserve">cross‑corroboration matrix</w:t>
      </w:r>
      <w:r w:rsidDel="00000000" w:rsidR="00000000" w:rsidRPr="00000000">
        <w:rPr>
          <w:rtl w:val="0"/>
        </w:rPr>
        <w:t xml:space="preserve"> (who saw/heard what, when) to preempt credibility attacks.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rPr/>
      </w:pPr>
      <w:r w:rsidDel="00000000" w:rsidR="00000000" w:rsidRPr="00000000">
        <w:rPr>
          <w:b w:val="1"/>
          <w:bCs w:val="1"/>
          <w:rtl w:val="0"/>
        </w:rPr>
        <w:t xml:space="preserve">Institutional narrative.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1"/>
        </w:numPr>
        <w:ind w:left="1440" w:hanging="360"/>
        <w:rPr/>
      </w:pPr>
      <w:r w:rsidDel="00000000" w:rsidR="00000000" w:rsidRPr="00000000">
        <w:rPr>
          <w:rtl w:val="0"/>
        </w:rPr>
        <w:t xml:space="preserve">Add a short “institutional impact” section (school, employers/hosts) documenting how coercive control spilled into third‑party systems—and how those institutions responded appropriately when notified (strengthens reasonableness and foreseeability).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uh2jxdplcw18" w:id="6"/>
      <w:bookmarkEnd w:id="6"/>
      <w:r w:rsidDel="00000000" w:rsidR="00000000" w:rsidRPr="00000000">
        <w:rPr>
          <w:b w:val="1"/>
          <w:bCs w:val="1"/>
          <w:rtl w:val="0"/>
        </w:rPr>
        <w:t xml:space="preserve">Phase 3 — Strategic Offensive (Lawful, Targeted, Non‑Public by Default)</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Objective:</w:t>
      </w:r>
      <w:r w:rsidDel="00000000" w:rsidR="00000000" w:rsidRPr="00000000">
        <w:rPr>
          <w:rtl w:val="0"/>
        </w:rPr>
        <w:t xml:space="preserve"> Apply pressure where the network is vulnerable—safely, lawfully, and incrementally.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3"/>
        </w:numPr>
        <w:ind w:left="720" w:hanging="360"/>
        <w:rPr/>
      </w:pPr>
      <w:r w:rsidDel="00000000" w:rsidR="00000000" w:rsidRPr="00000000">
        <w:rPr>
          <w:b w:val="1"/>
          <w:bCs w:val="1"/>
          <w:rtl w:val="0"/>
        </w:rPr>
        <w:t xml:space="preserve">Regulatory filings (precision only).</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1"/>
          <w:numId w:val="3"/>
        </w:numPr>
        <w:ind w:left="1440" w:hanging="360"/>
        <w:rPr/>
      </w:pPr>
      <w:r w:rsidDel="00000000" w:rsidR="00000000" w:rsidRPr="00000000">
        <w:rPr>
          <w:rtl w:val="0"/>
        </w:rPr>
        <w:t xml:space="preserve">Continue regulator‑first cadence (e.g., </w:t>
      </w:r>
      <w:r w:rsidDel="00000000" w:rsidR="00000000" w:rsidRPr="00000000">
        <w:rPr>
          <w:b w:val="1"/>
          <w:bCs w:val="1"/>
          <w:rtl w:val="0"/>
        </w:rPr>
        <w:t xml:space="preserve">State Bar pathways</w:t>
      </w:r>
      <w:r w:rsidDel="00000000" w:rsidR="00000000" w:rsidRPr="00000000">
        <w:rPr>
          <w:rtl w:val="0"/>
        </w:rPr>
        <w:t xml:space="preserve"> relevant to status/UPL), scrupulously mirroring </w:t>
      </w:r>
      <w:r w:rsidDel="00000000" w:rsidR="00000000" w:rsidRPr="00000000">
        <w:rPr>
          <w:b w:val="1"/>
          <w:bCs w:val="1"/>
          <w:rtl w:val="0"/>
        </w:rPr>
        <w:t xml:space="preserve">public license language</w:t>
      </w:r>
      <w:r w:rsidDel="00000000" w:rsidR="00000000" w:rsidRPr="00000000">
        <w:rPr>
          <w:rtl w:val="0"/>
        </w:rPr>
        <w:t xml:space="preserve"> (“Not Eligible to Practice Law”).</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5C">
      <w:pPr>
        <w:numPr>
          <w:ilvl w:val="1"/>
          <w:numId w:val="3"/>
        </w:numPr>
        <w:ind w:left="1440" w:hanging="360"/>
        <w:rPr/>
      </w:pPr>
      <w:r w:rsidDel="00000000" w:rsidR="00000000" w:rsidRPr="00000000">
        <w:rPr>
          <w:rtl w:val="0"/>
        </w:rPr>
        <w:t xml:space="preserve">Use </w:t>
      </w:r>
      <w:r w:rsidDel="00000000" w:rsidR="00000000" w:rsidRPr="00000000">
        <w:rPr>
          <w:b w:val="1"/>
          <w:bCs w:val="1"/>
          <w:rtl w:val="0"/>
        </w:rPr>
        <w:t xml:space="preserve">clean exhibits</w:t>
      </w:r>
      <w:r w:rsidDel="00000000" w:rsidR="00000000" w:rsidRPr="00000000">
        <w:rPr>
          <w:rtl w:val="0"/>
        </w:rPr>
        <w:t xml:space="preserve"> (bar status page; event materials) with capture date/URL footers.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3"/>
        </w:numPr>
        <w:ind w:left="720" w:hanging="360"/>
        <w:rPr/>
      </w:pPr>
      <w:r w:rsidDel="00000000" w:rsidR="00000000" w:rsidRPr="00000000">
        <w:rPr>
          <w:b w:val="1"/>
          <w:bCs w:val="1"/>
          <w:rtl w:val="0"/>
        </w:rPr>
        <w:t xml:space="preserve">Witness‑intimidation pathways.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1"/>
          <w:numId w:val="3"/>
        </w:numPr>
        <w:ind w:left="1440" w:hanging="360"/>
        <w:rPr/>
      </w:pPr>
      <w:r w:rsidDel="00000000" w:rsidR="00000000" w:rsidRPr="00000000">
        <w:rPr>
          <w:rtl w:val="0"/>
        </w:rPr>
        <w:t xml:space="preserve">If any ally experiences threats/dissuasion, file a focused report citing </w:t>
      </w:r>
      <w:r w:rsidDel="00000000" w:rsidR="00000000" w:rsidRPr="00000000">
        <w:rPr>
          <w:b w:val="1"/>
          <w:bCs w:val="1"/>
          <w:rtl w:val="0"/>
        </w:rPr>
        <w:t xml:space="preserve">Penal Code §136.1</w:t>
      </w:r>
      <w:r w:rsidDel="00000000" w:rsidR="00000000" w:rsidRPr="00000000">
        <w:rPr>
          <w:rtl w:val="0"/>
        </w:rPr>
        <w:t xml:space="preserve"> and request court protective conditions under </w:t>
      </w:r>
      <w:r w:rsidDel="00000000" w:rsidR="00000000" w:rsidRPr="00000000">
        <w:rPr>
          <w:b w:val="1"/>
          <w:bCs w:val="1"/>
          <w:rtl w:val="0"/>
        </w:rPr>
        <w:t xml:space="preserve">§136.2</w:t>
      </w:r>
      <w:r w:rsidDel="00000000" w:rsidR="00000000" w:rsidRPr="00000000">
        <w:rPr>
          <w:rtl w:val="0"/>
        </w:rPr>
        <w:t xml:space="preserve">, attaching authenticated snippets (with counsel’s filter). </w:t>
      </w:r>
      <w:hyperlink r:id="rId19">
        <w:r w:rsidDel="00000000" w:rsidR="00000000" w:rsidRPr="00000000">
          <w:rPr>
            <w:color w:val="1155cc"/>
            <w:u w:val="single"/>
            <w:rtl w:val="0"/>
          </w:rPr>
          <w:t xml:space="preserve">California.Public.Law</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2">
      <w:pPr>
        <w:numPr>
          <w:ilvl w:val="0"/>
          <w:numId w:val="3"/>
        </w:numPr>
        <w:ind w:left="720" w:hanging="360"/>
        <w:rPr/>
      </w:pPr>
      <w:r w:rsidDel="00000000" w:rsidR="00000000" w:rsidRPr="00000000">
        <w:rPr>
          <w:b w:val="1"/>
          <w:bCs w:val="1"/>
          <w:rtl w:val="0"/>
        </w:rPr>
        <w:t xml:space="preserve">Governance/host inquiries (non‑accusatory).</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4">
      <w:pPr>
        <w:numPr>
          <w:ilvl w:val="1"/>
          <w:numId w:val="3"/>
        </w:numPr>
        <w:ind w:left="1440" w:hanging="360"/>
        <w:rPr/>
      </w:pPr>
      <w:r w:rsidDel="00000000" w:rsidR="00000000" w:rsidRPr="00000000">
        <w:rPr>
          <w:rtl w:val="0"/>
        </w:rPr>
        <w:t xml:space="preserve">Replicate the </w:t>
      </w:r>
      <w:r w:rsidDel="00000000" w:rsidR="00000000" w:rsidRPr="00000000">
        <w:rPr>
          <w:b w:val="1"/>
          <w:bCs w:val="1"/>
          <w:rtl w:val="0"/>
        </w:rPr>
        <w:t xml:space="preserve">PUSD precedent</w:t>
      </w:r>
      <w:r w:rsidDel="00000000" w:rsidR="00000000" w:rsidRPr="00000000">
        <w:rPr>
          <w:rtl w:val="0"/>
        </w:rPr>
        <w:t xml:space="preserve"> with other institutions: neutral policy‑clarification letters that build </w:t>
      </w:r>
      <w:r w:rsidDel="00000000" w:rsidR="00000000" w:rsidRPr="00000000">
        <w:rPr>
          <w:b w:val="1"/>
          <w:bCs w:val="1"/>
          <w:rtl w:val="0"/>
        </w:rPr>
        <w:t xml:space="preserve">on‑record awareness</w:t>
      </w:r>
      <w:r w:rsidDel="00000000" w:rsidR="00000000" w:rsidRPr="00000000">
        <w:rPr>
          <w:rtl w:val="0"/>
        </w:rPr>
        <w:t xml:space="preserve">, prompt internal review, and quietly restrict adversary access—without public flamewars or defamation risk.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0"/>
          <w:numId w:val="3"/>
        </w:numPr>
        <w:ind w:left="720" w:hanging="360"/>
        <w:rPr/>
      </w:pPr>
      <w:r w:rsidDel="00000000" w:rsidR="00000000" w:rsidRPr="00000000">
        <w:rPr>
          <w:b w:val="1"/>
          <w:bCs w:val="1"/>
          <w:rtl w:val="0"/>
        </w:rPr>
        <w:t xml:space="preserve">Civil enforcement options (sequenced).</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1"/>
          <w:numId w:val="3"/>
        </w:numPr>
        <w:ind w:left="1440" w:hanging="360"/>
        <w:rPr/>
      </w:pPr>
      <w:r w:rsidDel="00000000" w:rsidR="00000000" w:rsidRPr="00000000">
        <w:rPr>
          <w:rtl w:val="0"/>
        </w:rPr>
        <w:t xml:space="preserve">Reserve coordinated tort claims (e.g., IIED, stalking, interference) for when your §6320 record is mature. Maintain </w:t>
      </w:r>
      <w:r w:rsidDel="00000000" w:rsidR="00000000" w:rsidRPr="00000000">
        <w:rPr>
          <w:b w:val="1"/>
          <w:bCs w:val="1"/>
          <w:rtl w:val="0"/>
        </w:rPr>
        <w:t xml:space="preserve">anti‑SLAPP</w:t>
      </w:r>
      <w:r w:rsidDel="00000000" w:rsidR="00000000" w:rsidRPr="00000000">
        <w:rPr>
          <w:rtl w:val="0"/>
        </w:rPr>
        <w:t xml:space="preserve"> awareness; keep communications litigation‑privileged where possible. </w:t>
      </w:r>
      <w:hyperlink r:id="rId20">
        <w:r w:rsidDel="00000000" w:rsidR="00000000" w:rsidRPr="00000000">
          <w:rPr>
            <w:color w:val="1155cc"/>
            <w:u w:val="single"/>
            <w:rtl w:val="0"/>
          </w:rPr>
          <w:t xml:space="preserve">Justia Law</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p2l6lnto63il" w:id="7"/>
      <w:bookmarkEnd w:id="7"/>
      <w:r w:rsidDel="00000000" w:rsidR="00000000" w:rsidRPr="00000000">
        <w:rPr>
          <w:b w:val="1"/>
          <w:bCs w:val="1"/>
          <w:rtl w:val="0"/>
        </w:rPr>
        <w:t xml:space="preserve">IV. Vetting Protocol for New Allies (Screen‑In Checklist)</w:t>
      </w:r>
      <w:r w:rsidDel="00000000" w:rsidR="00000000" w:rsidRPr="00000000">
        <w:rPr>
          <w:rtl w:val="0"/>
        </w:rPr>
      </w:r>
    </w:p>
    <w:p w:rsidR="00000000" w:rsidDel="00000000" w:rsidP="00000000" w:rsidRDefault="00000000" w:rsidRPr="00000000" w14:paraId="0000006C">
      <w:pPr>
        <w:numPr>
          <w:ilvl w:val="0"/>
          <w:numId w:val="2"/>
        </w:numPr>
        <w:ind w:left="720" w:hanging="360"/>
        <w:rPr/>
      </w:pPr>
      <w:r w:rsidDel="00000000" w:rsidR="00000000" w:rsidRPr="00000000">
        <w:rPr>
          <w:b w:val="1"/>
          <w:bCs w:val="1"/>
          <w:rtl w:val="0"/>
        </w:rPr>
        <w:t xml:space="preserve">Safety pre‑screen</w:t>
      </w:r>
      <w:r w:rsidDel="00000000" w:rsidR="00000000" w:rsidRPr="00000000">
        <w:rPr>
          <w:rtl w:val="0"/>
        </w:rPr>
        <w:t xml:space="preserve"> (current risk; need for Safe at Home; immediate OPSEC steps). </w:t>
      </w:r>
      <w:hyperlink r:id="rId21">
        <w:r w:rsidDel="00000000" w:rsidR="00000000" w:rsidRPr="00000000">
          <w:rPr>
            <w:color w:val="1155cc"/>
            <w:u w:val="single"/>
            <w:rtl w:val="0"/>
          </w:rPr>
          <w:t xml:space="preserve">vLex</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E">
      <w:pPr>
        <w:numPr>
          <w:ilvl w:val="0"/>
          <w:numId w:val="2"/>
        </w:numPr>
        <w:ind w:left="720" w:hanging="360"/>
        <w:rPr/>
      </w:pPr>
      <w:r w:rsidDel="00000000" w:rsidR="00000000" w:rsidRPr="00000000">
        <w:rPr>
          <w:b w:val="1"/>
          <w:bCs w:val="1"/>
          <w:rtl w:val="0"/>
        </w:rPr>
        <w:t xml:space="preserve">Counsel touchpoint</w:t>
      </w:r>
      <w:r w:rsidDel="00000000" w:rsidR="00000000" w:rsidRPr="00000000">
        <w:rPr>
          <w:rtl w:val="0"/>
        </w:rPr>
        <w:t xml:space="preserve">: Intro call under </w:t>
      </w:r>
      <w:r w:rsidDel="00000000" w:rsidR="00000000" w:rsidRPr="00000000">
        <w:rPr>
          <w:b w:val="1"/>
          <w:bCs w:val="1"/>
          <w:rtl w:val="0"/>
        </w:rPr>
        <w:t xml:space="preserve">common‑interest</w:t>
      </w:r>
      <w:r w:rsidDel="00000000" w:rsidR="00000000" w:rsidRPr="00000000">
        <w:rPr>
          <w:rtl w:val="0"/>
        </w:rPr>
        <w:t xml:space="preserve"> umbrella; clarify that </w:t>
      </w:r>
      <w:r w:rsidDel="00000000" w:rsidR="00000000" w:rsidRPr="00000000">
        <w:rPr>
          <w:b w:val="1"/>
          <w:bCs w:val="1"/>
          <w:rtl w:val="0"/>
        </w:rPr>
        <w:t xml:space="preserve">counsel directs communications</w:t>
      </w:r>
      <w:r w:rsidDel="00000000" w:rsidR="00000000" w:rsidRPr="00000000">
        <w:rPr>
          <w:rtl w:val="0"/>
        </w:rPr>
        <w:t xml:space="preserve"> and storage. </w:t>
      </w:r>
      <w:hyperlink r:id="rId22">
        <w:r w:rsidDel="00000000" w:rsidR="00000000" w:rsidRPr="00000000">
          <w:rPr>
            <w:color w:val="1155cc"/>
            <w:u w:val="single"/>
            <w:rtl w:val="0"/>
          </w:rPr>
          <w:t xml:space="preserve">Cal Corporate Law</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0">
      <w:pPr>
        <w:numPr>
          <w:ilvl w:val="0"/>
          <w:numId w:val="2"/>
        </w:numPr>
        <w:ind w:left="720" w:hanging="360"/>
        <w:rPr/>
      </w:pPr>
      <w:r w:rsidDel="00000000" w:rsidR="00000000" w:rsidRPr="00000000">
        <w:rPr>
          <w:b w:val="1"/>
          <w:bCs w:val="1"/>
          <w:rtl w:val="0"/>
        </w:rPr>
        <w:t xml:space="preserve">Identity &amp; nexus</w:t>
      </w:r>
      <w:r w:rsidDel="00000000" w:rsidR="00000000" w:rsidRPr="00000000">
        <w:rPr>
          <w:rtl w:val="0"/>
        </w:rPr>
        <w:t xml:space="preserve">: Confirm relationship to Sayegh network; collect minimal PII; assign </w:t>
      </w:r>
      <w:r w:rsidDel="00000000" w:rsidR="00000000" w:rsidRPr="00000000">
        <w:rPr>
          <w:b w:val="1"/>
          <w:bCs w:val="1"/>
          <w:rtl w:val="0"/>
        </w:rPr>
        <w:t xml:space="preserve">codename</w:t>
      </w:r>
      <w:r w:rsidDel="00000000" w:rsidR="00000000" w:rsidRPr="00000000">
        <w:rPr>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2">
      <w:pPr>
        <w:numPr>
          <w:ilvl w:val="0"/>
          <w:numId w:val="2"/>
        </w:numPr>
        <w:ind w:left="720" w:hanging="360"/>
        <w:rPr/>
      </w:pPr>
      <w:r w:rsidDel="00000000" w:rsidR="00000000" w:rsidRPr="00000000">
        <w:rPr>
          <w:b w:val="1"/>
          <w:bCs w:val="1"/>
          <w:rtl w:val="0"/>
        </w:rPr>
        <w:t xml:space="preserve">Initial incident capture</w:t>
      </w:r>
      <w:r w:rsidDel="00000000" w:rsidR="00000000" w:rsidRPr="00000000">
        <w:rPr>
          <w:rtl w:val="0"/>
        </w:rPr>
        <w:t xml:space="preserve"> (15–30 min): date‑anchored bullets mapped to §6320 categories with “alleged” markers; no wide distribution. </w:t>
      </w:r>
      <w:hyperlink r:id="rId23">
        <w:r w:rsidDel="00000000" w:rsidR="00000000" w:rsidRPr="00000000">
          <w:rPr>
            <w:color w:val="1155cc"/>
            <w:u w:val="single"/>
            <w:rtl w:val="0"/>
          </w:rPr>
          <w:t xml:space="preserve">Orange County Bar Association</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4">
      <w:pPr>
        <w:numPr>
          <w:ilvl w:val="0"/>
          <w:numId w:val="2"/>
        </w:numPr>
        <w:ind w:left="720" w:hanging="360"/>
        <w:rPr/>
      </w:pPr>
      <w:r w:rsidDel="00000000" w:rsidR="00000000" w:rsidRPr="00000000">
        <w:rPr>
          <w:b w:val="1"/>
          <w:bCs w:val="1"/>
          <w:rtl w:val="0"/>
        </w:rPr>
        <w:t xml:space="preserve">Corroboration scan</w:t>
      </w:r>
      <w:r w:rsidDel="00000000" w:rsidR="00000000" w:rsidRPr="00000000">
        <w:rPr>
          <w:rtl w:val="0"/>
        </w:rPr>
        <w:t xml:space="preserve">: Ask for two forms (text/email/audio/witness) per key incident; log sources and hashes.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6">
      <w:pPr>
        <w:numPr>
          <w:ilvl w:val="0"/>
          <w:numId w:val="2"/>
        </w:numPr>
        <w:ind w:left="720" w:hanging="360"/>
        <w:rPr/>
      </w:pPr>
      <w:r w:rsidDel="00000000" w:rsidR="00000000" w:rsidRPr="00000000">
        <w:rPr>
          <w:b w:val="1"/>
          <w:bCs w:val="1"/>
          <w:rtl w:val="0"/>
        </w:rPr>
        <w:t xml:space="preserve">OPSEC onboarding</w:t>
      </w:r>
      <w:r w:rsidDel="00000000" w:rsidR="00000000" w:rsidRPr="00000000">
        <w:rPr>
          <w:rtl w:val="0"/>
        </w:rPr>
        <w:t xml:space="preserve">: Encrypted app setup, auto‑delete, backup/off‑device rules; device hygiene (no shared accounts, 2FA, screen locks).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8">
      <w:pPr>
        <w:numPr>
          <w:ilvl w:val="0"/>
          <w:numId w:val="2"/>
        </w:numPr>
        <w:ind w:left="720" w:hanging="360"/>
        <w:rPr/>
      </w:pPr>
      <w:r w:rsidDel="00000000" w:rsidR="00000000" w:rsidRPr="00000000">
        <w:rPr>
          <w:b w:val="1"/>
          <w:bCs w:val="1"/>
          <w:rtl w:val="0"/>
        </w:rPr>
        <w:t xml:space="preserve">Red‑team screen</w:t>
      </w:r>
      <w:r w:rsidDel="00000000" w:rsidR="00000000" w:rsidRPr="00000000">
        <w:rPr>
          <w:rtl w:val="0"/>
        </w:rPr>
        <w:t xml:space="preserve">: Watch for infiltration indicators (over‑eagerness for docs, refusal to route through counsel, metadata anomalies).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numPr>
          <w:ilvl w:val="0"/>
          <w:numId w:val="2"/>
        </w:numPr>
        <w:ind w:left="720" w:hanging="360"/>
        <w:rPr/>
      </w:pPr>
      <w:r w:rsidDel="00000000" w:rsidR="00000000" w:rsidRPr="00000000">
        <w:rPr>
          <w:b w:val="1"/>
          <w:bCs w:val="1"/>
          <w:rtl w:val="0"/>
        </w:rPr>
        <w:t xml:space="preserve">Go/No‑Go</w:t>
      </w:r>
      <w:r w:rsidDel="00000000" w:rsidR="00000000" w:rsidRPr="00000000">
        <w:rPr>
          <w:rtl w:val="0"/>
        </w:rPr>
        <w:t xml:space="preserve">: Counsel approves entry; add to JCM roster.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wc6qw36ofsb1" w:id="8"/>
      <w:bookmarkEnd w:id="8"/>
      <w:r w:rsidDel="00000000" w:rsidR="00000000" w:rsidRPr="00000000">
        <w:rPr>
          <w:b w:val="1"/>
          <w:bCs w:val="1"/>
          <w:rtl w:val="0"/>
        </w:rPr>
        <w:t xml:space="preserve">V. Actionable Next Steps (5 items you can execute now)</w:t>
      </w:r>
      <w:r w:rsidDel="00000000" w:rsidR="00000000" w:rsidRPr="00000000">
        <w:rPr>
          <w:rtl w:val="0"/>
        </w:rPr>
      </w:r>
    </w:p>
    <w:p w:rsidR="00000000" w:rsidDel="00000000" w:rsidP="00000000" w:rsidRDefault="00000000" w:rsidRPr="00000000" w14:paraId="0000007E">
      <w:pPr>
        <w:numPr>
          <w:ilvl w:val="0"/>
          <w:numId w:val="6"/>
        </w:numPr>
        <w:ind w:left="720" w:hanging="360"/>
        <w:rPr/>
      </w:pPr>
      <w:r w:rsidDel="00000000" w:rsidR="00000000" w:rsidRPr="00000000">
        <w:rPr>
          <w:b w:val="1"/>
          <w:bCs w:val="1"/>
          <w:rtl w:val="0"/>
        </w:rPr>
        <w:t xml:space="preserve">Issue the Common‑Interest Memorandum</w:t>
      </w:r>
      <w:r w:rsidDel="00000000" w:rsidR="00000000" w:rsidRPr="00000000">
        <w:rPr>
          <w:rtl w:val="0"/>
        </w:rPr>
        <w:t xml:space="preserve"> to Nuha, Joyce, Joyce’s father, and Filippo (signature + counsel‑controlled storage). Reference </w:t>
      </w:r>
      <w:r w:rsidDel="00000000" w:rsidR="00000000" w:rsidRPr="00000000">
        <w:rPr>
          <w:b w:val="1"/>
          <w:bCs w:val="1"/>
          <w:rtl w:val="0"/>
        </w:rPr>
        <w:t xml:space="preserve">OXY Resources</w:t>
      </w:r>
      <w:r w:rsidDel="00000000" w:rsidR="00000000" w:rsidRPr="00000000">
        <w:rPr>
          <w:rtl w:val="0"/>
        </w:rPr>
        <w:t xml:space="preserve"> to reinforce the non‑waiver doctrine. </w:t>
      </w:r>
      <w:hyperlink r:id="rId24">
        <w:r w:rsidDel="00000000" w:rsidR="00000000" w:rsidRPr="00000000">
          <w:rPr>
            <w:color w:val="1155cc"/>
            <w:u w:val="single"/>
            <w:rtl w:val="0"/>
          </w:rPr>
          <w:t xml:space="preserve">Cal Corporate Law</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0">
      <w:pPr>
        <w:numPr>
          <w:ilvl w:val="0"/>
          <w:numId w:val="6"/>
        </w:numPr>
        <w:ind w:left="720" w:hanging="360"/>
        <w:rPr/>
      </w:pPr>
      <w:r w:rsidDel="00000000" w:rsidR="00000000" w:rsidRPr="00000000">
        <w:rPr>
          <w:b w:val="1"/>
          <w:bCs w:val="1"/>
          <w:rtl w:val="0"/>
        </w:rPr>
        <w:t xml:space="preserve">Stand up the §6320 Pattern Matrix</w:t>
      </w:r>
      <w:r w:rsidDel="00000000" w:rsidR="00000000" w:rsidRPr="00000000">
        <w:rPr>
          <w:rtl w:val="0"/>
        </w:rPr>
        <w:t xml:space="preserve"> in counsel’s workspace; seed with Nuha’s incidents, then schedule </w:t>
      </w:r>
      <w:r w:rsidDel="00000000" w:rsidR="00000000" w:rsidRPr="00000000">
        <w:rPr>
          <w:b w:val="1"/>
          <w:bCs w:val="1"/>
          <w:rtl w:val="0"/>
        </w:rPr>
        <w:t xml:space="preserve">30‑minute declaration‑capture calls</w:t>
      </w:r>
      <w:r w:rsidDel="00000000" w:rsidR="00000000" w:rsidRPr="00000000">
        <w:rPr>
          <w:rtl w:val="0"/>
        </w:rPr>
        <w:t xml:space="preserve"> for Joyce and Filippo this week. </w:t>
      </w:r>
      <w:hyperlink r:id="rId25">
        <w:r w:rsidDel="00000000" w:rsidR="00000000" w:rsidRPr="00000000">
          <w:rPr>
            <w:color w:val="1155cc"/>
            <w:u w:val="single"/>
            <w:rtl w:val="0"/>
          </w:rPr>
          <w:t xml:space="preserve">Orange County Bar Association</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2">
      <w:pPr>
        <w:numPr>
          <w:ilvl w:val="0"/>
          <w:numId w:val="6"/>
        </w:numPr>
        <w:ind w:left="720" w:hanging="360"/>
        <w:rPr/>
      </w:pPr>
      <w:r w:rsidDel="00000000" w:rsidR="00000000" w:rsidRPr="00000000">
        <w:rPr>
          <w:b w:val="1"/>
          <w:bCs w:val="1"/>
          <w:rtl w:val="0"/>
        </w:rPr>
        <w:t xml:space="preserve">Enroll eligible allies in Safe at Home</w:t>
      </w:r>
      <w:r w:rsidDel="00000000" w:rsidR="00000000" w:rsidRPr="00000000">
        <w:rPr>
          <w:rtl w:val="0"/>
        </w:rPr>
        <w:t xml:space="preserve"> (if they qualify) and push a 1‑page </w:t>
      </w:r>
      <w:r w:rsidDel="00000000" w:rsidR="00000000" w:rsidRPr="00000000">
        <w:rPr>
          <w:b w:val="1"/>
          <w:bCs w:val="1"/>
          <w:rtl w:val="0"/>
        </w:rPr>
        <w:t xml:space="preserve">OPSEC onboarding</w:t>
      </w:r>
      <w:r w:rsidDel="00000000" w:rsidR="00000000" w:rsidRPr="00000000">
        <w:rPr>
          <w:rtl w:val="0"/>
        </w:rPr>
        <w:t xml:space="preserve"> (Signal with disappearing messages, no cloud backups, device PIN/biometric, separate Apple IDs where needed). </w:t>
      </w:r>
      <w:hyperlink r:id="rId26">
        <w:r w:rsidDel="00000000" w:rsidR="00000000" w:rsidRPr="00000000">
          <w:rPr>
            <w:color w:val="1155cc"/>
            <w:u w:val="single"/>
            <w:rtl w:val="0"/>
          </w:rPr>
          <w:t xml:space="preserve">vLex</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0"/>
          <w:numId w:val="6"/>
        </w:numPr>
        <w:ind w:left="720" w:hanging="360"/>
        <w:rPr/>
      </w:pPr>
      <w:r w:rsidDel="00000000" w:rsidR="00000000" w:rsidRPr="00000000">
        <w:rPr>
          <w:b w:val="1"/>
          <w:bCs w:val="1"/>
          <w:rtl w:val="0"/>
        </w:rPr>
        <w:t xml:space="preserve">Set a witness‑intimidation tripwire</w:t>
      </w:r>
      <w:r w:rsidDel="00000000" w:rsidR="00000000" w:rsidRPr="00000000">
        <w:rPr>
          <w:rtl w:val="0"/>
        </w:rPr>
        <w:t xml:space="preserve">: If any threat/dissuasion occurs, escalate to counsel for a </w:t>
      </w:r>
      <w:r w:rsidDel="00000000" w:rsidR="00000000" w:rsidRPr="00000000">
        <w:rPr>
          <w:b w:val="1"/>
          <w:bCs w:val="1"/>
          <w:rtl w:val="0"/>
        </w:rPr>
        <w:t xml:space="preserve">targeted §136.1 report</w:t>
      </w:r>
      <w:r w:rsidDel="00000000" w:rsidR="00000000" w:rsidRPr="00000000">
        <w:rPr>
          <w:rtl w:val="0"/>
        </w:rPr>
        <w:t xml:space="preserve"> and protective‑order reinforcement under </w:t>
      </w:r>
      <w:r w:rsidDel="00000000" w:rsidR="00000000" w:rsidRPr="00000000">
        <w:rPr>
          <w:b w:val="1"/>
          <w:bCs w:val="1"/>
          <w:rtl w:val="0"/>
        </w:rPr>
        <w:t xml:space="preserve">§136.2</w:t>
      </w:r>
      <w:r w:rsidDel="00000000" w:rsidR="00000000" w:rsidRPr="00000000">
        <w:rPr>
          <w:rtl w:val="0"/>
        </w:rPr>
        <w:t xml:space="preserve">, attaching authenticated exhibits. </w:t>
      </w:r>
      <w:hyperlink r:id="rId27">
        <w:r w:rsidDel="00000000" w:rsidR="00000000" w:rsidRPr="00000000">
          <w:rPr>
            <w:color w:val="1155cc"/>
            <w:u w:val="single"/>
            <w:rtl w:val="0"/>
          </w:rPr>
          <w:t xml:space="preserve">California.Public.Law</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6"/>
        </w:numPr>
        <w:ind w:left="720" w:hanging="360"/>
        <w:rPr/>
      </w:pPr>
      <w:r w:rsidDel="00000000" w:rsidR="00000000" w:rsidRPr="00000000">
        <w:rPr>
          <w:b w:val="1"/>
          <w:bCs w:val="1"/>
          <w:rtl w:val="0"/>
        </w:rPr>
        <w:t xml:space="preserve">Clone the PUSD playbook</w:t>
      </w:r>
      <w:r w:rsidDel="00000000" w:rsidR="00000000" w:rsidRPr="00000000">
        <w:rPr>
          <w:rtl w:val="0"/>
        </w:rPr>
        <w:t xml:space="preserve">: Identify the next two institutions most likely to interact with the network (host/board/employer). Prepare neutral governance inquiries with clean exhibits (policy questions, not accusations) to create on‑record awareness and reduce access.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ge854nowzi7m" w:id="9"/>
      <w:bookmarkEnd w:id="9"/>
      <w:r w:rsidDel="00000000" w:rsidR="00000000" w:rsidRPr="00000000">
        <w:rPr>
          <w:b w:val="1"/>
          <w:bCs w:val="1"/>
          <w:rtl w:val="0"/>
        </w:rPr>
        <w:t xml:space="preserve">Notes on language discipline &amp; public‑facing references</w:t>
      </w:r>
      <w:r w:rsidDel="00000000" w:rsidR="00000000" w:rsidRPr="00000000">
        <w:rPr>
          <w:rtl w:val="0"/>
        </w:rPr>
      </w:r>
    </w:p>
    <w:p w:rsidR="00000000" w:rsidDel="00000000" w:rsidP="00000000" w:rsidRDefault="00000000" w:rsidRPr="00000000" w14:paraId="0000008A">
      <w:pPr>
        <w:numPr>
          <w:ilvl w:val="0"/>
          <w:numId w:val="7"/>
        </w:numPr>
        <w:ind w:left="720" w:hanging="360"/>
        <w:rPr/>
      </w:pPr>
      <w:r w:rsidDel="00000000" w:rsidR="00000000" w:rsidRPr="00000000">
        <w:rPr>
          <w:b w:val="1"/>
          <w:bCs w:val="1"/>
          <w:rtl w:val="0"/>
        </w:rPr>
        <w:t xml:space="preserve">Use exact license phrasing</w:t>
      </w:r>
      <w:r w:rsidDel="00000000" w:rsidR="00000000" w:rsidRPr="00000000">
        <w:rPr>
          <w:rtl w:val="0"/>
        </w:rPr>
        <w:t xml:space="preserve"> (“Not Eligible to Practice Law”) drawn from the public State Bar profile; avoid “disbarred” unless the official record so states.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C">
      <w:pPr>
        <w:numPr>
          <w:ilvl w:val="0"/>
          <w:numId w:val="7"/>
        </w:numPr>
        <w:ind w:left="720" w:hanging="360"/>
        <w:rPr/>
      </w:pPr>
      <w:r w:rsidDel="00000000" w:rsidR="00000000" w:rsidRPr="00000000">
        <w:rPr>
          <w:b w:val="1"/>
          <w:bCs w:val="1"/>
          <w:rtl w:val="0"/>
        </w:rPr>
        <w:t xml:space="preserve">Allegation labeling</w:t>
      </w:r>
      <w:r w:rsidDel="00000000" w:rsidR="00000000" w:rsidRPr="00000000">
        <w:rPr>
          <w:rtl w:val="0"/>
        </w:rPr>
        <w:t xml:space="preserve">: Mark non‑adjudicated claims as </w:t>
      </w:r>
      <w:r w:rsidDel="00000000" w:rsidR="00000000" w:rsidRPr="00000000">
        <w:rPr>
          <w:b w:val="1"/>
          <w:bCs w:val="1"/>
          <w:rtl w:val="0"/>
        </w:rPr>
        <w:t xml:space="preserve">alleged</w:t>
      </w:r>
      <w:r w:rsidDel="00000000" w:rsidR="00000000" w:rsidRPr="00000000">
        <w:rPr>
          <w:rtl w:val="0"/>
        </w:rPr>
        <w:t xml:space="preserve">; keep value judgments out of declarations; let facts and corroboration carry the weight.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E">
      <w:pPr>
        <w:numPr>
          <w:ilvl w:val="0"/>
          <w:numId w:val="7"/>
        </w:numPr>
        <w:ind w:left="720" w:hanging="360"/>
        <w:rPr/>
      </w:pPr>
      <w:r w:rsidDel="00000000" w:rsidR="00000000" w:rsidRPr="00000000">
        <w:rPr>
          <w:b w:val="1"/>
          <w:bCs w:val="1"/>
          <w:rtl w:val="0"/>
        </w:rPr>
        <w:t xml:space="preserve">Discovery hygiene</w:t>
      </w:r>
      <w:r w:rsidDel="00000000" w:rsidR="00000000" w:rsidRPr="00000000">
        <w:rPr>
          <w:rtl w:val="0"/>
        </w:rPr>
        <w:t xml:space="preserve">: Keep coalition chats free of strategy minutiae; route </w:t>
      </w:r>
      <w:r w:rsidDel="00000000" w:rsidR="00000000" w:rsidRPr="00000000">
        <w:rPr>
          <w:b w:val="1"/>
          <w:bCs w:val="1"/>
          <w:rtl w:val="0"/>
        </w:rPr>
        <w:t xml:space="preserve">substance to counsel</w:t>
      </w:r>
      <w:r w:rsidDel="00000000" w:rsidR="00000000" w:rsidRPr="00000000">
        <w:rPr>
          <w:rtl w:val="0"/>
        </w:rPr>
        <w:t xml:space="preserve">; prefer calls for sensitive topics; memorialize outcomes in counsel‑drafted notes.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4n349vmroij7" w:id="10"/>
      <w:bookmarkEnd w:id="10"/>
      <w:r w:rsidDel="00000000" w:rsidR="00000000" w:rsidRPr="00000000">
        <w:rPr>
          <w:rtl w:val="0"/>
        </w:rPr>
        <w:t xml:space="preserve">##Now: Turn this into (a) a one‑page </w:t>
      </w:r>
      <w:r w:rsidDel="00000000" w:rsidR="00000000" w:rsidRPr="00000000">
        <w:rPr>
          <w:b w:val="1"/>
          <w:bCs w:val="1"/>
          <w:rtl w:val="0"/>
        </w:rPr>
        <w:t xml:space="preserve">morning ops card</w:t>
      </w:r>
      <w:r w:rsidDel="00000000" w:rsidR="00000000" w:rsidRPr="00000000">
        <w:rPr>
          <w:rtl w:val="0"/>
        </w:rPr>
        <w:t xml:space="preserve"> for the coalition escort/calls, and (b) a </w:t>
      </w:r>
      <w:r w:rsidDel="00000000" w:rsidR="00000000" w:rsidRPr="00000000">
        <w:rPr>
          <w:b w:val="1"/>
          <w:bCs w:val="1"/>
          <w:rtl w:val="0"/>
        </w:rPr>
        <w:t xml:space="preserve">two‑page counsel kit</w:t>
      </w:r>
      <w:r w:rsidDel="00000000" w:rsidR="00000000" w:rsidRPr="00000000">
        <w:rPr>
          <w:rtl w:val="0"/>
        </w:rPr>
        <w:t xml:space="preserve"> (JCM cover note + §6320 matrix template) so you can deploy Phase 1 immediately.</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aw.justia.com/codes/california/code-evid/division-8/chapter-4/article-3/section-952/?utm_source=chatgpt.com" TargetMode="External"/><Relationship Id="rId22" Type="http://schemas.openxmlformats.org/officeDocument/2006/relationships/hyperlink" Target="https://www.calcorporatelaw.com/2014/03/court-explicates-common-interest-doctrine?utm_source=chatgpt.com" TargetMode="External"/><Relationship Id="rId21" Type="http://schemas.openxmlformats.org/officeDocument/2006/relationships/hyperlink" Target="https://case-law.vlex.com/vid/oxy-resources-cal-llc-889363390?utm_source=chatgpt.com" TargetMode="External"/><Relationship Id="rId24" Type="http://schemas.openxmlformats.org/officeDocument/2006/relationships/hyperlink" Target="https://www.calcorporatelaw.com/2014/03/court-explicates-common-interest-doctrine?utm_source=chatgpt.com" TargetMode="External"/><Relationship Id="rId23" Type="http://schemas.openxmlformats.org/officeDocument/2006/relationships/hyperlink" Target="https://www.ocbar.org/All-News/News-View/ArticleId/2082/June-2017-Communications-Between-Counsel-and-PR-Firms-Beware-of-Privilege-Waiver?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ifornia.public.law/codes/evidence_code_section_952?utm_source=chatgpt.com" TargetMode="External"/><Relationship Id="rId26" Type="http://schemas.openxmlformats.org/officeDocument/2006/relationships/hyperlink" Target="https://case-law.vlex.com/vid/oxy-resources-cal-llc-889363390?utm_source=chatgpt.com" TargetMode="External"/><Relationship Id="rId25" Type="http://schemas.openxmlformats.org/officeDocument/2006/relationships/hyperlink" Target="https://www.ocbar.org/All-News/News-View/ArticleId/2082/June-2017-Communications-Between-Counsel-and-PR-Firms-Beware-of-Privilege-Waiver?utm_source=chatgpt.com" TargetMode="External"/><Relationship Id="rId27" Type="http://schemas.openxmlformats.org/officeDocument/2006/relationships/hyperlink" Target="https://california.public.law/codes/evidence_code_section_952?utm_source=chatgpt.com" TargetMode="External"/><Relationship Id="rId5" Type="http://schemas.openxmlformats.org/officeDocument/2006/relationships/styles" Target="styles.xml"/><Relationship Id="rId6" Type="http://schemas.openxmlformats.org/officeDocument/2006/relationships/hyperlink" Target="https://www.ocbar.org/All-News/News-View/ArticleId/2082/June-2017-Communications-Between-Counsel-and-PR-Firms-Beware-of-Privilege-Waiver?utm_source=chatgpt.com" TargetMode="External"/><Relationship Id="rId7" Type="http://schemas.openxmlformats.org/officeDocument/2006/relationships/hyperlink" Target="https://www.calcorporatelaw.com/2014/03/court-explicates-common-interest-doctrine?utm_source=chatgpt.com" TargetMode="External"/><Relationship Id="rId8" Type="http://schemas.openxmlformats.org/officeDocument/2006/relationships/hyperlink" Target="https://www.ocbar.org/All-News/News-View/ArticleId/2082/June-2017-Communications-Between-Counsel-and-PR-Firms-Beware-of-Privilege-Waiver?utm_source=chatgpt.com" TargetMode="External"/><Relationship Id="rId11" Type="http://schemas.openxmlformats.org/officeDocument/2006/relationships/hyperlink" Target="https://case-law.vlex.com/vid/oxy-resources-cal-llc-889363390?utm_source=chatgpt.com" TargetMode="External"/><Relationship Id="rId10" Type="http://schemas.openxmlformats.org/officeDocument/2006/relationships/hyperlink" Target="https://brucecornblumlaw.com/2012/01/10/attorney-privilege-communications-with-others-not-the-client/?utm_source=chatgpt.com" TargetMode="External"/><Relationship Id="rId13" Type="http://schemas.openxmlformats.org/officeDocument/2006/relationships/hyperlink" Target="https://law.justia.com/codes/california/code-evid/division-8/chapter-4/article-3/section-952/?utm_source=chatgpt.com" TargetMode="External"/><Relationship Id="rId12" Type="http://schemas.openxmlformats.org/officeDocument/2006/relationships/hyperlink" Target="https://www.calcorporatelaw.com/2014/03/court-explicates-common-interest-doctrine?utm_source=chatgpt.com" TargetMode="External"/><Relationship Id="rId15" Type="http://schemas.openxmlformats.org/officeDocument/2006/relationships/hyperlink" Target="https://case-law.vlex.com/vid/oxy-resources-cal-llc-889363390?utm_source=chatgpt.com" TargetMode="External"/><Relationship Id="rId14" Type="http://schemas.openxmlformats.org/officeDocument/2006/relationships/hyperlink" Target="https://www.calcorporatelaw.com/2014/03/court-explicates-common-interest-doctrine?utm_source=chatgpt.com" TargetMode="External"/><Relationship Id="rId17" Type="http://schemas.openxmlformats.org/officeDocument/2006/relationships/hyperlink" Target="https://california.public.law/codes/evidence_code_section_952?utm_source=chatgpt.com" TargetMode="External"/><Relationship Id="rId16" Type="http://schemas.openxmlformats.org/officeDocument/2006/relationships/hyperlink" Target="https://california.public.law/codes/evidence_code_section_952?utm_source=chatgpt.com" TargetMode="External"/><Relationship Id="rId19" Type="http://schemas.openxmlformats.org/officeDocument/2006/relationships/hyperlink" Target="https://california.public.law/codes/evidence_code_section_952?utm_source=chatgpt.com" TargetMode="External"/><Relationship Id="rId18" Type="http://schemas.openxmlformats.org/officeDocument/2006/relationships/hyperlink" Target="https://brucecornblumlaw.com/2012/01/10/attorney-privilege-communications-with-others-not-the-clie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