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Explanation of Text Messages with “Machete” (Rob González)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Fahed “Freddy” Sayegh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Context and intent of July–October text thread regarding the “DJ Machete” name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were informal, friend-to-friend messages. I was not acting as Rob’s attorney, gave no legal analysis, charged no fee, and did not contact any third party. Where I floated “$25,000 and change your name,” it was obvious hyperbole; Rob immediately replied “You’re kidding right?” with laugh reactions.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Relationship / capacity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Rob and I are longtime friends in the music scene.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have no attorney–client agreement, no fee, and no expectation of legal services.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never told him I represented him, and he never asked me to represent him.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the texts show (key call-outs)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Rob’s initial ask (July 1, 11:39 AM): He tells me someone else is using “Machete,” says he doesn’t have a U.S. trademark, and asks “What can I do?”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My joking line (blue bubble): “Write him an apology… change your name… pay no less than $25,000.” This is joking hyperbole; it is immediately met with “You’re kidding right?” and “ha ha” reactions.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Courtesy draft (blue block): I sent a PR-style, respectful outreach template (subject line “Request to Resolve Name Confusion”). It avoids threats or legal demands and aims to de-escalate. Rob says he’s “ok with this… made some minor edits… will only escalate if necessary.”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Self-help direction (July 8, 11:21 AM): I text, “Looks like you might want to try to register it yourself NOW,” meaning he should handle any filing himself or with his own counsel.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Later chatter (mid–late July): He updates me about confusion with promoters and asks generic questions. I do not provide analysis or contact anyone.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Personal tone: The thread also includes friendly logistics and his kids’ birthday invite—underscoring this was a personal conversation, not professional work.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I did 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 do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did not analyze trademark law, rights, or defenses.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did not draft, send, or threaten any cease-and-desist or other legal notice.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did not negotiate with, or communicate to, any third party (DJ, promoter, platform, or lawyer).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did not accept or request any payment, nor did I keep time or create “work product.”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to label the exhibits (helpful for your binder)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Ex. A (July 1): Rob’s initial gray texts + my blue “$25k/change your name” line → immediately followed by “You’re kidding right?” and laugh reactions.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Ex. B (July 1): My blue courtesy communication template (“Request to Resolve Name Confusion”)—explicitly non-legal tone.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Ex. C (July 8): My blue “register it yourself NOW” text.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Ex. D (mid–late July): Rob’s follow-ups about confusion; no legal steps by me.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Ex. E (Oct 11): Kids’ birthday invite—personal context.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One-paragraph summary for you to use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“These screenshots reflect a casual conversation between friends. Mr. Sayegh did not represent Mr. González, charged no fee, gave no legal analysis, and sent no communications to any third party. The ‘$25,000/change your name’ line was a joke, as evidenced by the immediate ‘You’re kidding right?’ and laugh reactions. The long blue message is a courtesy PR template meant to de-escalate, not a legal demand. Mr. Sayegh expressly directed Rob to ‘register it yourself NOW,’ confirming that Rob—not Mr. Sayegh—should handle any filing or seek his own counsel.”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Freddy Sayegh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990000"/>
          <w:sz w:val="28"/>
          <w:szCs w:val="28"/>
          <w:rtl w:val="0"/>
        </w:rPr>
        <w:t xml:space="preserve">THE ALTADENA COALITION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407 East Woodbury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Pasadena, California 91001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O/310-877-5033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F/310-895-1180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ee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www.thealtadena.com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ealtade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