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SUBPOENA DUCES TECUM — ATTACHMENT A (Medical Weight Loss &amp; Beauty / James Kojian, M.D.)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(To accompany Judicial Council SUBP‑010 / SUBP‑025)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Production Date/Time: __________ at __________ (or as otherwise ordered). Place of Production: [Designated production portal or counsel address].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Entity: Medical Weight Loss &amp; Beauty / James Kojian, M.D. — 24 E. Colorado Blvd., Pasadena, CA 91105; (626) 777‑7900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Records to Be Produced (narrowly tailored)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1. Appointment logs/scheduling entries for Petitioner within the authorized window.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2. Procedure/clinical notes for cosmetic injections (face/lips) including pre‑/post‑procedure observations.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3. Informed consent forms and treatment plans for injections/fillers.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4. Clinical photographs taken in connection with the above procedures.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5. Billing statements and CPT/HCPCS codes for the above services.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Date Range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Date window: Nov. 3–4, 2023 (and ±7 days if necessary to capture the encounter).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Confidentiality &amp; Protective 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This subpoena issues pursuant to CCP § 1985.3 (consumer notice served). Production is subject to the Court’s HIPAA Qualified Protective Order (45 C.F.R. § 164.512(e)) and Protective Order on file. Redact non‑responsive private information.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Mode of Production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Produce as legible PDFs and native image files (if any). Include custodian declaration (Evid. Code § 1561).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