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EXHIBIT 10: CHATSWORTH CONFLICT DISCLOSURE - NOVEMBER 17, 2025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Contemporaneous detailed meeting notes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Event: Initial consultation between Nuha Sayegh and Sara Memari (H Bui Law Firm)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17,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EXTRACTED QUOTE - SARA MEMARI (at approx. 9:29 minutes):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think he's gonna appear remotely. And just so you know, because I already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hearing that I'm supposed to appear in Chatsworth for in person, so as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unfortunately, appear remotely, our hearing, if you want to appear remotely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too, so you don't have to go there and put in person, I can set that up."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SIGNIFICANCE: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days before Nuha's November 19, 2025 DVRO/custody hearing in Pasadena: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disclosed she had a CONFLICTING in-person hearing in Chatsworth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proactively steered Nuha toward remote appearance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forced remote configuration directly contributed to: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Nuha being unable to testify live (no prior court authorization for remote)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Sara appearing late to Nuha's 8:30 AM hearing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Client's due process rights being subordinated to attorney's convenience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ESTABLISHED (3 CONSECUTIVE DAYS):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17: Sara discloses Chatsworth conflict during consultation (this exhibit)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18: Sara emails "I'm in court this morning in Chatsworth" (see EXHIBIT_8)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19: Sara emails "finish my hearing in Chatsworth first" at 8:47 AM (see EXHIBIT_9)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Nuha's hearing: 8:30 AM in Pasadena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VIOLATION: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Rules of Professional Conduct Rule 1.7 - Conflict of Interest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scheduled conflicting matters knowing she could not adequately represent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at both hearings. Client's contested custody/DVRO hearing was treated 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to attorney's Chatsworth schedule.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These are contemporaneous detailed notes of the meeting, not a recording.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