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THREAD: FL-150 ERROR WARNING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Tuesday, November 18, 2025 at 4:30 PM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Income and Expense Declaration corrections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made critical corrections to the I&amp;E and need immediate action. I'm on food stamps, $11,000 behind in rent, no heat for my kids, and they come back traumatized every weekend from him. I need sole custody with supervised visits NOW and maximum support or we won't survive this month.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Sara Memari &lt;sara@hbuilaw.com&gt;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Wednesday, November 19, 2025 at 12:54 AM (morning of hearing)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Income and Expense Declaration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our call yesterday, I explained that because the only issues before the Court are support and attorney's fees, it's unlikely the Court will change the current visitation order at this hearing.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your I&amp;E accurate (and easier for the judge to accept), expenses should reflect what you're actually paying right now. A few clarifications I need from you today: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Childcare: Are you currently paying for childcare?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Health care (out-of-pocket): What's your monthly amount?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Travel for visitation: You listed $7,009, this looks like a typo.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Extracurriculars ($1,500): The court will ask why this can be paid while rent/essentials are tight.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leaving the office at 5:30 PM today since I have another obligation to attend to. If I don't have your signed I&amp;E by then, I won't be able to file the updated I&amp;E, and the Court will most likely proceed with the September I&amp;E for now.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| Associate Attorney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This email was sent at 12:54 AM on November 19, 2025 (morning of 8:30 AM hearing), setting an impossible 5:30 PM deadline for "today" when the hearing was already scheduled for that morning. The incorrect FL-150 showing $5,500 income (actual: $0) was filed at 5:19 PM on November 18, 2025 - BEFORE Sara's response email and BEFORE the hearing.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