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SMOKING GUN EMAIL: CHATSWORTH SCHEDULING CONFLICT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19, 2025 - Day of Hearing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Sara Memari &lt;sara@hbuilaw.com&gt;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Valerie Arebalo, Xiaoye (Melody) Zhou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Wednesday, November 19, 2025 at 8:47 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LA COURT CONNECT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Ok, perfect.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Court is going to call us closer to 10am, so I can finish my hearing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Chatsworth first. But stay logged 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Memari | Associate Attorney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802 S. 1st Ave, Arcadia, CA 91006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Nuha's hearing was SCHEDULED for 8:30 AM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This email was sent at 8:47 AM (17 minutes AFTER scheduled start)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Login instructions were sent at 8:39 AM (9 minutes late)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 admits she is prioritizing her Chatsworth hearing over client's case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8:30 AM - Nuha's hearing scheduled to begin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8:39 AM - Login sent (too late)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8:46 AM - Nuha confirms "I'm in! Just waiting"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8:47 AM - Sara says she'll "finish Chatsworth first"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~10:00 AM - Sara finally available, but damage done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SIGNIFICANCE: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proves Sara Memari deliberately scheduled conflicting hearings and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prioritized her Chatsworth case over Nuha's critical custody/support hearing.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late login wasn't an accident - it was because Sara was busy elsewhere.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violates: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Rule 1.3 (Diligence) - Failed to prioritize client's matter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Rule 1.4 (Communication) - Failed to disclose scheduling conflict would delay hearing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Rule 1.7 (Conflict of Interest) - Attorney's convenience vs. client's needs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Nuha lost exclusive use of family home and received reduced support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because her attorney was unavailable at the scheduled hearing time.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