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16:49:55 -0700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Sayegh--Retainer Draft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Zhou and Ms. Bui,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the retainer agreement dated October 27, 2025. I'm writing 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behalf of my client, Nuha Sayegh, regarding the timing of potential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 transition. We have several strategic concerns that require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professional input before Ms. Sayegh can make an informed decision.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case involves three active proceedings in LA County Superior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(Pasadena):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25PDFL01441: Dissolution proceeding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25PDRO01260: Domestic violence restraining order (DVRO) dismissed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October 15, 2025 - Ms. Sayegh prevailed as respondent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25PDRO01246: Related DVRO matter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(Kirk A. Kolodji, Esq.) has: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Filed three strategic motions on October 27, 2025: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FC §6344 attorney fees motion ($14,473.64 - requesting opposing party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Notice of Lis Pendens (family residence protection)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FC §271 sanctions notice (frivolous conduct penalties)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TIMELINE CONCERNS: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two pressing deadlines that require your assessment: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IMMEDIATE DEADLINE: November 1, 2025 (Friday - 3 days)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Opposition brief due to opposing party's Motion for Reconsideration (CCP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§1008)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Brief must include newly secured expert medical testimony (two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physicians confirming no cosmetic procedures performed)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evidence directly rebuts opposing party's primary defense claim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CONTESTED HEARING: November 19, 2025 (22 days)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Combined hearing on: attorney fees (FC §6344), child support, spousal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support, custody/visitation, property possession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Current attorney has invested 65.5 hours, filed all necessary motions,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familiar with Judge Lofton (Dept. L)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FOR H BUI LAW FIRM: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1: November 1 Deadline Management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Ms. Sayegh retains your firm immediately (pays retainer this week), can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firm: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Review approximately 50+ case documents within 48 hours?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Prepare and file opposition brief to Motion for Reconsideration by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November 1 deadline?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Coordinate with two medical experts to obtain declarations by November 1?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would your firm request a continuance of the November 1 deadline?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2: November 19 Hearing Preparation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only 22 days until a complex, contested hearing involving five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issues: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is your typical onboarding timeline for a case of this complexity?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Would 22 days provide sufficient time for your firm to prepare at the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level of excellence Ms. Sayegh deserves?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would your firm recommend retaining you post-November 19 to ensure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adequate preparation time?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3: Transition Coordination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transition occurs now: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How would your firm coordinate with current attorney regarding: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FC §6344 motion already filed (Ms. Sayegh's potential $14,473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recovery from opposing party)?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 pendens already recorded (family home protection)?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FC §271 sanctions notice already served?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Would these motions need to be re-filed, or can your firm adopt them via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substitution of counsel?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4: Financial Considerations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has outstanding balance of $10,473.64, BUT has filed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opposing party to pay $14,473.64 under FC §6344(a) (mandatory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award to prevailing party in DVRO cases).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motion succeeds (likely, given Ms. Sayegh prevailed and opposing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has demonstrated ability to pay at $48,000/month income):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Ms. Sayegh's debt would be eliminated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Opposing party would pay the fees directly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question: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Ms. Sayegh switches attorneys before November 19 hearing, does she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still benefit from current attorney's FC §6344 motion?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would substitution of counsel affect the fee recovery?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5: Strategic Recommendation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above facts, what is your professional recommendation?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Retain H Bui Law Firm immediately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Pros: CFLS expertise, client's preference for new representation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Cons: November 1 deadline risk, November 19 preparation constraints,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transition complications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Retain H Bui Law Firm post-November 19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Pros: Current attorney completes pending motions, adequate onboarding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time, no deadline pressure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Cons: 22-day delay in representation transition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C: Hybrid approach (co-counsel, limited scope, etc.)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Your firm's assessment of viability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CONTEXT: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Current Situation: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Income: $0/month (unemployed during dissolution)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Expected relief from November 19 hearing: $7,000-$12,000/month (child +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spousal support)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Financial pressure: Retainer payment of $7,500 represents significant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expense with zero current income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Priorities: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Securing child and spousal support (November 19 hearing critical)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Protecting $1.1M-$1.5M family home (lis pendens filed)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Recovering attorney fees from opposing party (FC §6344 motion filed)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Ensuring children's welfare (custody/visitation protection)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Excellent legal representation going forward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respectfully request your firm's professional assessment of the above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questions. Your honest evaluation will help Ms. Sayegh make the best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for her case.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Specifically: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 your firm effectively manage the November 1 deadline if retained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week?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Is 22 days sufficient preparation time for November 19 hearing?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is your recommendation regarding optimal transition timing?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not asking you to decline representation. We are asking for your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judgment on timing to ensure Ms. Sayegh receives the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excellence she deserves from your firm.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assessment is that post-November 19 retention would better serve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interests (allowing adequate onboarding time and avoiding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pressure), we would greatly respect that professional opinion and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accordingly.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assessment is that immediate retention is viable without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compromising quality, please explain how your firm would manage the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 and November 19 deadlines.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TIMELINE: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November 1 deadline urgency, we respectfully request your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by end of day Wednesday, October 30, 2025 (48 hours).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allow Ms. Sayegh to make an informed decision based on your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input.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 is impressed by your firm's credentials (CFLS certification is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exceptional) and your retainer agreement is professional and fair. She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 to work with your firm.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only question is WHEN - immediately or post-November 19 - and we defer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professional judgment on what best serves her case.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consideration of these timing concerns. We look forward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response.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 Case Manager &amp; Strategic Advisor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behalf of: Nuha Sayegh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626-348-3019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28, 2025 at 11:22 AM Xiaoye (Melody) Zhou &lt;melody@hbuilaw.com&gt;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Afternoon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attached the retainer agreement for your review.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you’ve confirmed that all the information is correct and have decided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move forward with retaining our office for your legal matter, please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call us back. We will then send you the agreement via DocuSign for your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electronic signature.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have any questions or need further clarification, please don’t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hesitate to reach out*.  Please confirm all names are spelled correctly. *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 please hit the reply all button if you are replying this email***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