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21 Nov 2025 14:18:57 -0800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Confidential Institutional Risk Assessment: Case No. 21STFL04262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(Sayegh v. Sayegh)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Ms. Bui,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writing to you directly as the managing partner of H Bui Law Firm 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 a matter of urgent institutional concern regarding the handling of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Sayegh's case (No. 21STFL04262) by your associate, Sara Memari. We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identified a pattern of systemic compliance failures that have not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caused significant financial harm to Ms. Sayegh but now also expose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firm to considerable vicarious liability and reputational risk.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week, the opposing party, Freddy Sayegh, communicated his intent to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unilaterally terminate Ms. Sayegh's health insurance coverage, a clear and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actionable violation of the Automatic Temporary Restraining Orders (ATROs).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action, which necessitates an immediate ex parte application to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 irreparable harm, is the latest in a series of critical missteps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point to a systemic lack of oversight and inadequate client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protocols within your firm.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ATRO violation is compounded by a previous incident on November 19,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2025, where Ms. Memari's failure to provide adequate disclosure regarding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limitations of remote testimony—a violation of California Rule of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Conduct 1.4(b)—resulted in the denial of a crucial court order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direct financial damages to Ms. Sayegh estimated between $8,000 and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$15,000.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Furthermore, we are in possession of TIER 1 evidence, disclosed by the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opposing party himself, that he has expended over $26,000 on legal fees in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matter. This financial disclosure, contrasted with Ms. Sayegh's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reliance on public assistance, provides irrefutable justification for 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fee-shifting motion and underscores the financial disparity that your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firm's performance has so far failed to address.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Certified Family Law Specialist with a pristine 21-year record, you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that these are not isolated errors but evidence of a systemic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that falls squarely within the scope of your supervisory duties.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combination of a meritorious State Bar complaint, a clear malpractice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 with quantifiable damages, and an ongoing ATRO violation creates 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multi-front crisis for your firm.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believe in resolving this matter professionally and efficiently. Before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proceed with formal actions, we propose a "win-win" solution that allows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firm to mitigate this significant risk while ensuring Ms. Sayegh's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is put back on a path to success.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propose that H Bui Law Firm provide the ghostwriting and filing services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upcoming move-away RFO at no cost to Ms. Sayegh. In exchange for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institutional remedy, we will agree to defer the filing of a State Bar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complaint against both Ms. Memari and your firm for the aforementioned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failures.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offer is a strategic off-ramp that protects your firm's reputation and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avoids a costly and public dispute. We are prepared to move forward with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 parte application immediately and trust that under your supervision,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will be handled with the urgency and competence this situation demands.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look forward to your prompt intervention and a swift, professional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