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21 Nov 2025 19:10:49 -0800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Confidential Institutional Risk Assessment: Case No. 21STFL04262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(Sayegh v. Sayegh)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Ms. Memari,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received your email, and I honestly don’t even know where to begin except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say I’m so deeply sorry.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email you received from my account does not represent how I truly feel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you or the work you’ve done for me. I know that doesn’t change what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sent, and I know I’m responsible for what comes from my account, but I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you to know that those words and that tone are not mine. I have been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an enormous amount of stress and made the mistake of allowing someone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 to get involved in something that should have stayed between us. That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my failure, and I am genuinely mortified by what happened.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been nothing but professional and dedicated to my case during one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darkest periods of my life. When my own family turned their backs 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for trying to leave an abusive situation, your firm was there. I have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appreciated every single thing you’ve done for me and my children, and I am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devastated that things have ended this way.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understand completely why you can no longer represent me. I don’t blame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at all. I will sign the Substitution of Attorney as you’ve requested. I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wanted you to know how truly sorry I am and how much I have valued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help during this impossible time.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scared about what comes next, but I know that’s no longer your concern.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needed you to hear a real apology from me before we part ways.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everything you’ve tried to do for me and my children.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Sincerely,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Fri, Nov 21, 2025 at 6:23 PM Bichhanh Bui &lt;hbui@hbuilaw.com&gt; wrote: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Ms. Sayegh: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am in receipt of your email. It is unfortunate that you feel your matter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has not been represented adequately. However, this office, including Ms.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Memari, has acted competently and diligently at all times. We categorically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deny any allegation of malpractice, negligence, or improper handling of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your case.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Given the statements in your email, it is clear that there has been 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breakdown in the attorney-client relationship. As a result, this office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will no longer be representing you. Please sign the attached Substitution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of Attorney. If it is not executed by Monday, my office will be filing a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motion to be relieved as counsel. We cannot continue representation when 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client makes unfounded accusations or threats toward the firm or its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associates.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It is truly unfortunate that we have reached this point, as our intent has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always been to assist you—particularly in light of the history of domestic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violence you have endured. Nevertheless, we wish you well moving forward.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*Bichhanh (Hannah) Bui | Principal Attorney*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*Certified Family Law Specialist*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802 S. 1st Ave, Arcadia, CA 91006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e: *hbui@hbuilaw.com*  t:*  626.683.7574   *f:*  888.335.2040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Communication: All information contained in this message may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privileged, confidential or otherwise protected from disclosure under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applicable law. The information is intended to be for the addressee only.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not the addressee, or if you have received this message in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error, any disclosure, copying, distribution or use of the contents of this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is prohibited. If you have received this message in error, please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contact us immediately by reply email or telephone at (626) 683-7574 and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 the original message and all attachments without retaining any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copies. Thank you.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IRS Circular 230 Disclosure: In order to comply with requirements imposed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the Internal Revenue Service, we are required to inform you that any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U.S. tax advice contained in this communication (including any attachments)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intended to be used, and cannot be used by any person or entity, for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purpose of (i) avoiding penalties under the Internal Revenue Code or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(ii) promoting, marketing, or recommending to another party any transaction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matter addressed herein. Notwithstanding the Uniform Electronic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Transaction Act or any other law of similar effect, absent an express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statement to the contrary, this email message, its contents, and any other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hereto are not intended to represent an offer or acceptance to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enter into a contract and are not otherwise intended to bind this sender, H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Bui Law Firm, any of its clients, or any other person or entity. It is the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recipient's responsibility to scan this email and any attachments for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viruses. This e-mail is not encrypted and offers no security protection.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material sent could be viewed by a third party while in transit. Please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consider the environment before printing documents.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Nuha Sayegh &lt;nuha@recovery-compass.org&gt;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Friday, November 21, 2025 2:19 PM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Hannah Bui &lt;hannah@hbuilaw.com&gt;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Eric Jones &lt;eric@recovery-compass.org&gt;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Fwd: Confidential Institutional Risk Assessment: Case No.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21STFL04262 (Sayegh v. Sayegh)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Dear Ms. Bui,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am writing to you directly as the managing partner of H Bui Law Firm to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raise a matter of urgent institutional concern regarding the handling of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 Sayegh's case (No. 21STFL04262) by your associate, Sara Memari. We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have identified a pattern of systemic compliance failures that have not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only caused significant financial harm to Ms. Sayegh but now also expose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your firm to considerable vicarious liability and reputational risk.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week, the opposing party, Freddy Sayegh, communicated his intent to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unilaterally terminate Ms. Sayegh's health insurance coverage, a clear and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actionable violation of the Automatic Temporary Restraining Orders (ATROs).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action, which necessitates an immediate ex parte application to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prevent irreparable harm, is the latest in a series of critical missteps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that point to a systemic lack of oversight and inadequate client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communication protocols within your firm.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ATRO violation is compounded by a previous incident on November 19,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2025, where Ms. Memari's failure to provide adequate disclosure regarding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limitations of remote testimony—a violation of California Rule of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Professional Conduct 1.4(b)—resulted in the denial of a crucial court order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direct financial damages to Ms. Sayegh estimated between $8,000 and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$15,000.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Furthermore, we are in possession of TIER 1 evidence, disclosed by the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opposing party himself, that he has expended over $26,000 on legal fees in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matter. This financial disclosure, contrasted with Ms. Sayegh's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reliance on public assistance, provides irrefutable justification for a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fee-shifting motion and underscores the financial disparity that your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firm's performance has so far failed to address.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As a Certified Family Law Specialist with a pristine 21-year record, you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understand that these are not isolated errors but evidence of a systemic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failure that falls squarely within the scope of your supervisory duties.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combination of a meritorious State Bar complaint, a clear malpractice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claim with quantifiable damages, and an ongoing ATRO violation creates a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multi-front crisis for your firm.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believe in resolving this matter professionally and efficiently. Before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proceed with formal actions, we propose a "win-win" solution that allows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your firm to mitigate this significant risk while ensuring Ms. Sayegh's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case is put back on a path to success.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propose that H Bui Law Firm provide the ghostwriting and filing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services for the upcoming move-away RFO at no cost to Ms. Sayegh. In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exchange for this institutional remedy, we will agree to defer the filing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of a State Bar complaint against both Ms. Memari and your firm for the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aforementioned compliance failures.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offer is a strategic off-ramp that protects your firm's reputation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avoids a costly and public dispute. We are prepared to move forward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with the ex parte application immediately and trust that under your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supervision, it will be handled with the urgency and competence this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situation demands.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look forward to your prompt intervention and a swift, professional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resolution.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Sincerely,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 Sayegh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