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Strategic Assessment &amp; Intelligence Briefing: Sayegh v. Sayegh (Case No. 25PDRO01246)</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1.0 Situational Assessment and Strategic Imperatives 1.1 Executive Overview</w:t>
      </w:r>
      <w:r w:rsidDel="00000000" w:rsidR="00000000" w:rsidRPr="00000000">
        <w:rPr>
          <w:rtl w:val="0"/>
        </w:rPr>
        <w:br w:type="textWrapping"/>
        <w:t xml:space="preserve">This briefing provides the legal team with a comprehensive analysis of the </w:t>
      </w:r>
      <w:r w:rsidDel="00000000" w:rsidR="00000000" w:rsidRPr="00000000">
        <w:rPr>
          <w:i w:val="1"/>
          <w:iCs w:val="1"/>
          <w:rtl w:val="0"/>
        </w:rPr>
        <w:t xml:space="preserve">Sayegh v. Sayegh</w:t>
      </w:r>
      <w:r w:rsidDel="00000000" w:rsidR="00000000" w:rsidRPr="00000000">
        <w:rPr>
          <w:rtl w:val="0"/>
        </w:rPr>
        <w:t xml:space="preserve"> matter, focusing on critical tactical developments and outlining a multi-front strategic offensive. The adversary's documented professional misconduct, coupled with recent, willful violations of court orders, has created a significant asymmetric advantage. Our core objective is to leverage these vulnerabilities to achieve the immediate safety of our client and her children while simultaneously pursuing long-term accountability for the adversary and his network of enablers. This document presents a detailed action plan to prosecute these vulnerabilities, secure a permanent restraining order, and initiate the systematic dismantlement of the adversary's support structure.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1.2 Current Case Status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following table summarizes the key attributes of the primary legal action. All data is sourced directly from the active case file.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Case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Status/Details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Case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25PDRO01246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Court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Superior Court of California, County of Los Angeles (Pasadena Courthouse)</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Case Type</w:t>
      </w:r>
      <w:r w:rsidDel="00000000" w:rsidR="00000000" w:rsidRPr="00000000">
        <w:rPr>
          <w:rtl w:val="0"/>
        </w:rPr>
        <w:t xml:space="preserve"> Domestic Violence Prevention Act (DVPA)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Petitioner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Nuha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Respondent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Fahed "Freddy"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Active 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Temporary Restraining Order (TRO), Form DV-110, issued </w:t>
            </w:r>
            <w:r w:rsidDel="00000000" w:rsidR="00000000" w:rsidRPr="00000000">
              <w:rPr>
                <w:b w:val="1"/>
                <w:bCs w:val="1"/>
                <w:rtl w:val="0"/>
              </w:rPr>
              <w:t xml:space="preserve">September 10, 2025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Scheduled Hearing  (ROAH)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October 1, 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Scheduled Hearing (Ex Parte)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September 18, 2025, at 8:30 AM</w:t>
            </w:r>
            <w:r w:rsidDel="00000000" w:rsidR="00000000" w:rsidRPr="00000000">
              <w:rPr>
                <w:rtl w:val="0"/>
              </w:rPr>
              <w:t xml:space="preserve"> in Dept. S.</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1.3 Core Strategic Objective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primary strategic objective is the systematic dismantlement of the adversary's network through a coordinated three-axis offensive: (1) witness coalition building, (2) economic warfare via regulatory pressure, and (3) a multi-front litigation offensive. The immediate goal is to secure a permanent restraining order and obtain sole legal and physical custody of the minor children. The long-term goal is the complete neutralization of the adversary's professional and financial network, thereby eliminating his capacity to inflict further harm. Recent tactical developments, including a blatant violation of the active restraining order, have accelerated the strategic timeline and created an opportunity to achieve immediate and decisive court intervention.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2.0 Analysis of Key Tactical Developments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2.1 Service of Temporary Restraining Order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Confirming personal service of a Temporary Restraining Order (TRO) is a foundational tactical milestone. It establishes the adversary's actual notice of the court's prohibitions and triggers the full enforceability of the order by law enforcement. This formal notice is a prerequisite for any subsequent contempt of court proceedings or enforcement actions arising from violations, transforming the order from a judicial directive into an actionable instrument for client protection.</w:t>
        <w:br w:type="textWrapping"/>
        <w:t xml:space="preserve">Based on the filed Proof of Personal Service (DV-200), Respondent Fahed Sayegh was personally served with the TRO on </w:t>
      </w:r>
      <w:r w:rsidDel="00000000" w:rsidR="00000000" w:rsidRPr="00000000">
        <w:rPr>
          <w:b w:val="1"/>
          <w:bCs w:val="1"/>
          <w:rtl w:val="0"/>
        </w:rPr>
        <w:t xml:space="preserve">September 14, 2025, at approximately 9:30 AM</w:t>
      </w:r>
      <w:r w:rsidDel="00000000" w:rsidR="00000000" w:rsidRPr="00000000">
        <w:rPr>
          <w:rtl w:val="0"/>
        </w:rPr>
        <w:t xml:space="preserve">. Service was effectuated at the address of 1226 Sonoma Drive, Pasadena, CA. The filed DV-200 serves as the conclusive evidentiary basis for Respondent’s knowledge of the court's orders.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2.2 Post-Service Violation and Contempt of Court</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 </w:t>
      </w:r>
      <w:r w:rsidDel="00000000" w:rsidR="00000000" w:rsidRPr="00000000">
        <w:rPr>
          <w:b w:val="1"/>
          <w:bCs w:val="1"/>
          <w:rtl w:val="0"/>
        </w:rPr>
        <w:t xml:space="preserve">September 17, 2025, at 11:01 AM</w:t>
      </w:r>
      <w:r w:rsidDel="00000000" w:rsidR="00000000" w:rsidRPr="00000000">
        <w:rPr>
          <w:rtl w:val="0"/>
        </w:rPr>
        <w:t xml:space="preserve">, Respondent Fahed Sayegh willfully violated the active TRO. He initiated a phone call to the minor child, Mia (age 13), during which he told her that the restraining order was </w:t>
      </w:r>
      <w:r w:rsidDel="00000000" w:rsidR="00000000" w:rsidRPr="00000000">
        <w:rPr>
          <w:b w:val="1"/>
          <w:bCs w:val="1"/>
          <w:rtl w:val="0"/>
        </w:rPr>
        <w:t xml:space="preserve">"gone"</w:t>
      </w:r>
      <w:r w:rsidDel="00000000" w:rsidR="00000000" w:rsidRPr="00000000">
        <w:rPr>
          <w:rtl w:val="0"/>
        </w:rPr>
        <w:t xml:space="preserve"> and that he would see her soon. This unsolicited communication is a direct contravention of the personal-conduct and stay-away provisions detailed in the DV-110 order.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action is a predictable but strategically fatal blunder by the adversary. It constitutes a direct and willful violation of a lawful court order, making it a clear act of contempt. Furthermore, as established in </w:t>
      </w:r>
      <w:r w:rsidDel="00000000" w:rsidR="00000000" w:rsidRPr="00000000">
        <w:rPr>
          <w:i w:val="1"/>
          <w:iCs w:val="1"/>
          <w:rtl w:val="0"/>
        </w:rPr>
        <w:t xml:space="preserve">N.T. v. H.T.</w:t>
      </w:r>
      <w:r w:rsidDel="00000000" w:rsidR="00000000" w:rsidRPr="00000000">
        <w:rPr>
          <w:rtl w:val="0"/>
        </w:rPr>
        <w:t xml:space="preserve"> (2019) 34 Cal.App.5th 595, a violation of a TRO is, in and of itself, a further act of abuse under the Domestic Violence Prevention Act. This new act of abuse provides critical leverage for the upcoming ex parte hearing, demonstrating Respondent's disregard for judicial authority and the immediate risk he poses to the children. In response to this violation, law enforcement was immediately notified to create an official record and establish a predicate for criminal enforcement.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3.0 Adversary Network Analysis: Pattern of Coercive Control</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3.1 Profile of Primary Adversary: Fahed "Freddy" Sayegh</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adversary's actions are not isolated incidents of poor judgment but are part of a documented, long-standing pattern of professional misconduct, abusive litigation tactics, and coercive control. This pattern provides a clear framework for understanding his current behavior and predicting his future actions.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rtl w:val="0"/>
        </w:rPr>
        <w:t xml:space="preserve">Professional Status:</w:t>
      </w:r>
      <w:r w:rsidDel="00000000" w:rsidR="00000000" w:rsidRPr="00000000">
        <w:rPr>
          <w:rtl w:val="0"/>
        </w:rPr>
        <w:t xml:space="preserve"> Fahed "Freddy" Sayegh (Bar #230297) has been </w:t>
      </w:r>
      <w:r w:rsidDel="00000000" w:rsidR="00000000" w:rsidRPr="00000000">
        <w:rPr>
          <w:b w:val="1"/>
          <w:bCs w:val="1"/>
          <w:rtl w:val="0"/>
        </w:rPr>
        <w:t xml:space="preserve">"Not Eligible to Practice Law"</w:t>
      </w:r>
      <w:r w:rsidDel="00000000" w:rsidR="00000000" w:rsidRPr="00000000">
        <w:rPr>
          <w:rtl w:val="0"/>
        </w:rPr>
        <w:t xml:space="preserve"> in California effective </w:t>
      </w:r>
      <w:r w:rsidDel="00000000" w:rsidR="00000000" w:rsidRPr="00000000">
        <w:rPr>
          <w:b w:val="1"/>
          <w:bCs w:val="1"/>
          <w:rtl w:val="0"/>
        </w:rPr>
        <w:t xml:space="preserve">February 14, 2025</w:t>
      </w:r>
      <w:r w:rsidDel="00000000" w:rsidR="00000000" w:rsidRPr="00000000">
        <w:rPr>
          <w:rtl w:val="0"/>
        </w:rPr>
        <w:t xml:space="preserve">. This status is the result of 16 documented acts of misconduct, including making misrepresentations and misleading judicial officers.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b w:val="1"/>
          <w:bCs w:val="1"/>
          <w:rtl w:val="0"/>
        </w:rPr>
        <w:t xml:space="preserve">Unauthorized Practice of Law (UPL):</w:t>
      </w:r>
      <w:r w:rsidDel="00000000" w:rsidR="00000000" w:rsidRPr="00000000">
        <w:rPr>
          <w:rtl w:val="0"/>
        </w:rPr>
        <w:t xml:space="preserve"> On </w:t>
      </w:r>
      <w:r w:rsidDel="00000000" w:rsidR="00000000" w:rsidRPr="00000000">
        <w:rPr>
          <w:b w:val="1"/>
          <w:bCs w:val="1"/>
          <w:rtl w:val="0"/>
        </w:rPr>
        <w:t xml:space="preserve">August 15, 2025</w:t>
      </w:r>
      <w:r w:rsidDel="00000000" w:rsidR="00000000" w:rsidRPr="00000000">
        <w:rPr>
          <w:rtl w:val="0"/>
        </w:rPr>
        <w:t xml:space="preserve">, while ineligible to practice, Sayegh moderated a "legal education event" for "LA Fire Justice." This act of holding himself out as an attorney is a direct violation of California Business &amp; Professions Code §§ 6125 and 6126(a).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rtl w:val="0"/>
        </w:rPr>
        <w:t xml:space="preserve">History of Abuse:</w:t>
      </w:r>
      <w:r w:rsidDel="00000000" w:rsidR="00000000" w:rsidRPr="00000000">
        <w:rPr>
          <w:rtl w:val="0"/>
        </w:rPr>
        <w:t xml:space="preserve"> The record includes sworn declarations from Nuha Sayegh detailing physical beatings, stalking, and coercive control. This is corroborated by intelligence reports outlining a history of childhood trauma, including an eyewitness account of his</w:t>
        <w:br w:type="textWrapping"/>
        <w:t xml:space="preserve">father, Nabiel Sayegh, physically striking him as a child, providing context for a generational pattern of violence.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3.2 Analysis of Co-Conspirators and Enablers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Fahed Sayegh does not operate in isolation. He is supported and enabled by a family network that actively participates in and orchestrates abuse. This network functions to preserve a carefully constructed social and financial status, often at the direct expense of family members who challenge the established hierarchy.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Adversary Support Network: Key Nodes and Functions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Relationship to  Principal 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Assessed Role in Coercive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Margie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Mother of Nuha; Mother-in-law of Fahed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Central </w:t>
            </w:r>
            <w:r w:rsidDel="00000000" w:rsidR="00000000" w:rsidRPr="00000000">
              <w:rPr>
                <w:b w:val="1"/>
                <w:bCs w:val="1"/>
                <w:rtl w:val="0"/>
              </w:rPr>
              <w:t xml:space="preserve">Orchestrator and Enabler</w:t>
            </w:r>
            <w:r w:rsidDel="00000000" w:rsidR="00000000" w:rsidRPr="00000000">
              <w:rPr>
                <w:rtl w:val="0"/>
              </w:rPr>
              <w:t xml:space="preserve">. Allegedly supplied illegal drugs to Fahed that fueled his abuse of her daughter, Nuha, directly contributing to Nuha's own addiction.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Tina Yacoub (née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Sister of Nuha;  Sister-in-law of  Fahed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Antagonist</w:t>
            </w:r>
            <w:r w:rsidDel="00000000" w:rsidR="00000000" w:rsidRPr="00000000">
              <w:rPr>
                <w:rtl w:val="0"/>
              </w:rPr>
              <w:t xml:space="preserve">. Actively participates in the campaign to discredit Nuha, aligning with the family faction opposing 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Anthony Yacoub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Husband of Tina; Brother-in-law of Nuha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Aggressive Ally</w:t>
            </w:r>
            <w:r w:rsidDel="00000000" w:rsidR="00000000" w:rsidRPr="00000000">
              <w:rPr>
                <w:rtl w:val="0"/>
              </w:rPr>
              <w:t xml:space="preserve">. Exhibits controlling behavior and aggressively directs personal issues outward onto Nuha.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Nabiel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Father-in-law of  Nuha; Father of  Fahed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Primary Aggressor / Enabler</w:t>
            </w:r>
            <w:r w:rsidDel="00000000" w:rsidR="00000000" w:rsidRPr="00000000">
              <w:rPr>
                <w:rtl w:val="0"/>
              </w:rPr>
              <w:t xml:space="preserve">. History of chronic anger and violence; allegedly orchestrated a premeditated sexual assault against his own wife.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Linda Nuha  Sayegh  (Petitioner's Aunt)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Aunt of Nuha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Enabler</w:t>
            </w:r>
            <w:r w:rsidDel="00000000" w:rsidR="00000000" w:rsidRPr="00000000">
              <w:rPr>
                <w:rtl w:val="0"/>
              </w:rPr>
              <w:t xml:space="preserve">. Aligned with her sister Margie; allegedly engaged in illegal surveillance against her own ex-husband.</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network analysis confirms the necessity of a multi-front strategy that neutralizes not only the primary adversary but also the support structure that facilitates his abusive conduct.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4.0 Assessment of Multi-Domain Violations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4.1 Domestic Violence and Family Law Violations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Respondent's conduct provides multiple, independent grounds for severe sanctions under the California Domestic Violence Prevention Act (DVPA), triggering severe consequences related to personal liberty and parental rights.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r w:rsidDel="00000000" w:rsidR="00000000" w:rsidRPr="00000000">
        <w:rPr>
          <w:b w:val="1"/>
          <w:bCs w:val="1"/>
          <w:rtl w:val="0"/>
        </w:rPr>
        <w:t xml:space="preserve">Abuse (Fam. Code § 6203, § 6320):</w:t>
      </w:r>
      <w:r w:rsidDel="00000000" w:rsidR="00000000" w:rsidRPr="00000000">
        <w:rPr>
          <w:rtl w:val="0"/>
        </w:rPr>
        <w:t xml:space="preserve"> The documented history of physical beatings, stalking, and coercive control, culminating in the post-service TRO violation on </w:t>
      </w:r>
      <w:r w:rsidDel="00000000" w:rsidR="00000000" w:rsidRPr="00000000">
        <w:rPr>
          <w:b w:val="1"/>
          <w:bCs w:val="1"/>
          <w:rtl w:val="0"/>
        </w:rPr>
        <w:t xml:space="preserve">September 17, 2025</w:t>
      </w:r>
      <w:r w:rsidDel="00000000" w:rsidR="00000000" w:rsidRPr="00000000">
        <w:rPr>
          <w:rtl w:val="0"/>
        </w:rPr>
        <w:t xml:space="preserve">, squarely meets the statutory definition of "abuse."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b w:val="1"/>
          <w:bCs w:val="1"/>
          <w:rtl w:val="0"/>
        </w:rPr>
        <w:t xml:space="preserve">Immediate Harm to Child (Fam. Code § 3064):</w:t>
      </w:r>
      <w:r w:rsidDel="00000000" w:rsidR="00000000" w:rsidRPr="00000000">
        <w:rPr>
          <w:rtl w:val="0"/>
        </w:rPr>
        <w:t xml:space="preserve"> The demonstrated and continuing pattern of domestic violence, coupled with concerns about Respondent's illegal access to firearms, establishes "immediate harm to the child" and justifies the pending ex parte application for emergency custody orders. This threat is not abstract; the California Department of Justice's 2024 APPS report confirms that as of </w:t>
      </w:r>
      <w:r w:rsidDel="00000000" w:rsidR="00000000" w:rsidRPr="00000000">
        <w:rPr>
          <w:b w:val="1"/>
          <w:bCs w:val="1"/>
          <w:rtl w:val="0"/>
        </w:rPr>
        <w:t xml:space="preserve">January 1, 2025</w:t>
      </w:r>
      <w:r w:rsidDel="00000000" w:rsidR="00000000" w:rsidRPr="00000000">
        <w:rPr>
          <w:rtl w:val="0"/>
        </w:rPr>
        <w:t xml:space="preserve">, </w:t>
      </w:r>
      <w:r w:rsidDel="00000000" w:rsidR="00000000" w:rsidRPr="00000000">
        <w:rPr>
          <w:b w:val="1"/>
          <w:bCs w:val="1"/>
          <w:rtl w:val="0"/>
        </w:rPr>
        <w:t xml:space="preserve">4,259 individuals (16.4% of the total)</w:t>
      </w:r>
      <w:r w:rsidDel="00000000" w:rsidR="00000000" w:rsidRPr="00000000">
        <w:rPr>
          <w:rtl w:val="0"/>
        </w:rPr>
        <w:t xml:space="preserve"> in the state's armed and prohibited persons database are prohibited due to restraining orders, underscoring the significant public safety threat this specific scenario represents.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r w:rsidDel="00000000" w:rsidR="00000000" w:rsidRPr="00000000">
        <w:rPr>
          <w:b w:val="1"/>
          <w:bCs w:val="1"/>
          <w:rtl w:val="0"/>
        </w:rPr>
        <w:t xml:space="preserve">Presumption Against Custody (Fam. Code § 3044):</w:t>
      </w:r>
      <w:r w:rsidDel="00000000" w:rsidR="00000000" w:rsidRPr="00000000">
        <w:rPr>
          <w:rtl w:val="0"/>
        </w:rPr>
        <w:t xml:space="preserve"> A judicial finding of domestic violence, which is strongly supported by the evidence, will trigger the rebuttable presumption that an award of sole or joint physical or legal custody of a child to the Respondent would be detrimental to the best interest of the child.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4.2 Unauthorized Practice of Law (UPL) and Professional Misconduct</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Respondent's continued engagement in law-related activities while ineligible, and the supervisory failures of his associates, create significant regulatory exposure and civil liability for all involved parties, providing direct avenues for attack.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r w:rsidDel="00000000" w:rsidR="00000000" w:rsidRPr="00000000">
        <w:rPr>
          <w:b w:val="1"/>
          <w:bCs w:val="1"/>
          <w:rtl w:val="0"/>
        </w:rPr>
        <w:t xml:space="preserve">Unauthorized Practice of Law (B&amp;P Code § 6125, § 6126):</w:t>
      </w:r>
      <w:r w:rsidDel="00000000" w:rsidR="00000000" w:rsidRPr="00000000">
        <w:rPr>
          <w:rtl w:val="0"/>
        </w:rPr>
        <w:t xml:space="preserve"> Respondent's moderation of the "LA Fire Justice" event on </w:t>
      </w:r>
      <w:r w:rsidDel="00000000" w:rsidR="00000000" w:rsidRPr="00000000">
        <w:rPr>
          <w:b w:val="1"/>
          <w:bCs w:val="1"/>
          <w:rtl w:val="0"/>
        </w:rPr>
        <w:t xml:space="preserve">August 15, 2025</w:t>
      </w:r>
      <w:r w:rsidDel="00000000" w:rsidR="00000000" w:rsidRPr="00000000">
        <w:rPr>
          <w:rtl w:val="0"/>
        </w:rPr>
        <w:t xml:space="preserve">, constitutes the unlawful practice of law, a misdemeanor offense.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b w:val="1"/>
          <w:bCs w:val="1"/>
          <w:rtl w:val="0"/>
        </w:rPr>
        <w:t xml:space="preserve">Supervisory Failures (CRPC Rule 5.1):</w:t>
      </w:r>
      <w:r w:rsidDel="00000000" w:rsidR="00000000" w:rsidRPr="00000000">
        <w:rPr>
          <w:rtl w:val="0"/>
        </w:rPr>
        <w:t xml:space="preserve"> Attorney Douglas Boxer and his firm, Sunridge Law Group, have a direct duty to ensure compliance with professional rules. Their failure to supervise Sayegh, a known ineligible person operating under their firm's brand, exposes them to vicarious liability and State Bar discipline.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r w:rsidDel="00000000" w:rsidR="00000000" w:rsidRPr="00000000">
        <w:rPr>
          <w:b w:val="1"/>
          <w:bCs w:val="1"/>
          <w:rtl w:val="0"/>
        </w:rPr>
        <w:t xml:space="preserve">State Bar Act Violations:</w:t>
      </w:r>
      <w:r w:rsidDel="00000000" w:rsidR="00000000" w:rsidRPr="00000000">
        <w:rPr>
          <w:rtl w:val="0"/>
        </w:rPr>
        <w:t xml:space="preserve"> Sayegh's conduct is grounds for further, more severe discipline. Notably, abetting the unauthorized practice of law is a stated priority for the State Bar's Office of Chief Trial Counsel, increasing the likelihood of a swift and decisive investigation.</w:t>
        <w:br w:type="textWrapping"/>
      </w:r>
      <w:r w:rsidDel="00000000" w:rsidR="00000000" w:rsidRPr="00000000">
        <w:rPr>
          <w:b w:val="1"/>
          <w:bCs w:val="1"/>
          <w:rtl w:val="0"/>
        </w:rPr>
        <w:t xml:space="preserve">4.3 Regulatory and Compliance Violations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entities associated with Respondent are operating in violation of state compliance laws, creating an additional front for regulatory enforcement. A search of the California Attorney General's Registry of Charities and Fundraisers revealed no matching record for "LA Fire Justice" or "Sunridge Law Group." This indicates a failure to comply with mandatory registration laws for entities soliciting charitable donations in California and forms a key basis for the "Economic Warfare" axis of the overall strategic offensive.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5.0 Strategic Directives and Action Plan</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5.1 Immediate Pre-Hearing Directives (Fortress Protocol)</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following actions are designed to secure the immediate safety of the petitioner and her children and to solidify our tactical position for the </w:t>
      </w:r>
      <w:r w:rsidDel="00000000" w:rsidR="00000000" w:rsidRPr="00000000">
        <w:rPr>
          <w:b w:val="1"/>
          <w:bCs w:val="1"/>
          <w:rtl w:val="0"/>
        </w:rPr>
        <w:t xml:space="preserve">September 18</w:t>
      </w:r>
      <w:r w:rsidDel="00000000" w:rsidR="00000000" w:rsidRPr="00000000">
        <w:rPr>
          <w:rtl w:val="0"/>
        </w:rPr>
        <w:t xml:space="preserve"> ex parte hearing.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w:t>
      </w:r>
      <w:r w:rsidDel="00000000" w:rsidR="00000000" w:rsidRPr="00000000">
        <w:rPr>
          <w:b w:val="1"/>
          <w:bCs w:val="1"/>
          <w:rtl w:val="0"/>
        </w:rPr>
        <w:t xml:space="preserve">Enforce Restraining Order:</w:t>
      </w:r>
      <w:r w:rsidDel="00000000" w:rsidR="00000000" w:rsidRPr="00000000">
        <w:rPr>
          <w:rtl w:val="0"/>
        </w:rPr>
        <w:t xml:space="preserve"> Transmit the conformed Temporary Restraining Order (DV-110) and the filed Proof of Personal Service (DV-200) to both the LASD Temple Station and LASD Altadena Station with a formal request for priority entry into the California Law Enforcement Telecommunications System (CLETS). This action directly supports the statewide Armed and Prohibited Persons System (APPS) program's public safety objectives by ensuring near-real-time data for responding officers.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 </w:t>
      </w:r>
      <w:r w:rsidDel="00000000" w:rsidR="00000000" w:rsidRPr="00000000">
        <w:rPr>
          <w:b w:val="1"/>
          <w:bCs w:val="1"/>
          <w:rtl w:val="0"/>
        </w:rPr>
        <w:t xml:space="preserve">Secure Emergency Custody:</w:t>
      </w:r>
      <w:r w:rsidDel="00000000" w:rsidR="00000000" w:rsidRPr="00000000">
        <w:rPr>
          <w:rtl w:val="0"/>
        </w:rPr>
        <w:t xml:space="preserve"> Finalize and file the Ex Parte Application for Emergency Custody Orders. The application will be primarily based on the </w:t>
      </w:r>
      <w:r w:rsidDel="00000000" w:rsidR="00000000" w:rsidRPr="00000000">
        <w:rPr>
          <w:b w:val="1"/>
          <w:bCs w:val="1"/>
          <w:rtl w:val="0"/>
        </w:rPr>
        <w:t xml:space="preserve">September 17</w:t>
      </w:r>
      <w:r w:rsidDel="00000000" w:rsidR="00000000" w:rsidRPr="00000000">
        <w:rPr>
          <w:rtl w:val="0"/>
        </w:rPr>
        <w:t xml:space="preserve"> TRO violation, citing the "immediate harm" standard under Family Code § 3064.</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w:t>
      </w:r>
      <w:r w:rsidDel="00000000" w:rsidR="00000000" w:rsidRPr="00000000">
        <w:rPr>
          <w:b w:val="1"/>
          <w:bCs w:val="1"/>
          <w:rtl w:val="0"/>
        </w:rPr>
        <w:t xml:space="preserve">Implement School Safety Protocols:</w:t>
      </w:r>
      <w:r w:rsidDel="00000000" w:rsidR="00000000" w:rsidRPr="00000000">
        <w:rPr>
          <w:rtl w:val="0"/>
        </w:rPr>
        <w:t xml:space="preserve"> Transmit the conformed DV-110 and DV-200 to the children's schools. We will request a specific order at the hearing prohibiting the Respondent from harassing or disturbing the peace at all school locations.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w:t>
      </w:r>
      <w:r w:rsidDel="00000000" w:rsidR="00000000" w:rsidRPr="00000000">
        <w:rPr>
          <w:b w:val="1"/>
          <w:bCs w:val="1"/>
          <w:rtl w:val="0"/>
        </w:rPr>
        <w:t xml:space="preserve">Initiate Asset Retrieval:</w:t>
      </w:r>
      <w:r w:rsidDel="00000000" w:rsidR="00000000" w:rsidRPr="00000000">
        <w:rPr>
          <w:rtl w:val="0"/>
        </w:rPr>
        <w:t xml:space="preserve"> Coordinate with the Los Angeles County Sheriff's Department to schedule a Civil Standby, facilitating the safe and lawful retrieval of the petitioner's essential personal belongings from the former residence.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5.2 Long-Term Objectives (Spear Protocol &amp; Accountability Offensive)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These directives constitute the long-term offensive aimed at achieving professional, regulatory, and financial accountability, thereby neutralizing the adversary's capacity for future harm.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w:t>
      </w:r>
      <w:r w:rsidDel="00000000" w:rsidR="00000000" w:rsidRPr="00000000">
        <w:rPr>
          <w:b w:val="1"/>
          <w:bCs w:val="1"/>
          <w:rtl w:val="0"/>
        </w:rPr>
        <w:t xml:space="preserve">Target Supervisory Failures:</w:t>
      </w:r>
      <w:r w:rsidDel="00000000" w:rsidR="00000000" w:rsidRPr="00000000">
        <w:rPr>
          <w:rtl w:val="0"/>
        </w:rPr>
        <w:t xml:space="preserve"> Execute and transmit the "Supervisory Demand to Sunridge Law Group" letter via email and certified mail to attorney Douglas Boxer, focusing on his duties and liability under California Rule of Professional Conduct 5.1.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 </w:t>
      </w:r>
      <w:r w:rsidDel="00000000" w:rsidR="00000000" w:rsidRPr="00000000">
        <w:rPr>
          <w:b w:val="1"/>
          <w:bCs w:val="1"/>
          <w:rtl w:val="0"/>
        </w:rPr>
        <w:t xml:space="preserve">Challenge Entity Governance:</w:t>
      </w:r>
      <w:r w:rsidDel="00000000" w:rsidR="00000000" w:rsidRPr="00000000">
        <w:rPr>
          <w:rtl w:val="0"/>
        </w:rPr>
        <w:t xml:space="preserve"> Send the "Governance and Registry Compliance Inquiry" letter to "LA Fire Justice," demanding clarification of its corporate structure, leadership, and compliance with state nonprofit laws.</w:t>
        <w:br w:type="textWrapping"/>
        <w:t xml:space="preserve">3. </w:t>
      </w:r>
      <w:r w:rsidDel="00000000" w:rsidR="00000000" w:rsidRPr="00000000">
        <w:rPr>
          <w:b w:val="1"/>
          <w:bCs w:val="1"/>
          <w:rtl w:val="0"/>
        </w:rPr>
        <w:t xml:space="preserve">Initiate Regulatory Investigation:</w:t>
      </w:r>
      <w:r w:rsidDel="00000000" w:rsidR="00000000" w:rsidRPr="00000000">
        <w:rPr>
          <w:rtl w:val="0"/>
        </w:rPr>
        <w:t xml:space="preserve"> File a formal inquiry with the California Attorney General's Charitable Trusts Section detailing the non-registration of "LA Fire Justice" and attaching all supporting evidence.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4. </w:t>
      </w:r>
      <w:r w:rsidDel="00000000" w:rsidR="00000000" w:rsidRPr="00000000">
        <w:rPr>
          <w:b w:val="1"/>
          <w:bCs w:val="1"/>
          <w:rtl w:val="0"/>
        </w:rPr>
        <w:t xml:space="preserve">Prosecute UPL:</w:t>
      </w:r>
      <w:r w:rsidDel="00000000" w:rsidR="00000000" w:rsidRPr="00000000">
        <w:rPr>
          <w:rtl w:val="0"/>
        </w:rPr>
        <w:t xml:space="preserve"> Finalize and submit the comprehensive State Bar complaint packet (Case 25-O-25791) against Fahed Sayegh for the Unauthorized Practice of Law. The packet will include all forensically hashed exhibits and a detailed analysis of the supervisory failures of his associates.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6.0 Conclusion: Maintaining Asymmetric Leverage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adversary's status as an attorney deemed </w:t>
      </w:r>
      <w:r w:rsidDel="00000000" w:rsidR="00000000" w:rsidRPr="00000000">
        <w:rPr>
          <w:b w:val="1"/>
          <w:bCs w:val="1"/>
          <w:rtl w:val="0"/>
        </w:rPr>
        <w:t xml:space="preserve">"Not Eligible to Practice Law"</w:t>
      </w:r>
      <w:r w:rsidDel="00000000" w:rsidR="00000000" w:rsidRPr="00000000">
        <w:rPr>
          <w:rtl w:val="0"/>
        </w:rPr>
        <w:t xml:space="preserve"> who is now engaging in the documented violation of a domestic violence restraining order creates a powerful asymmetric advantage. His actions simultaneously constitute contempt of court, a new act of domestic violence, and further grounds for State Bar discipline. This convergence of legal peril places him in an untenable strategic position. The faithful and systematic execution of the strategic directives outlined in this briefing will create overwhelming and non-negotiable leverage to compel a favorable resolution at the upcoming restraining order hearing and in all subsequent accountability proceedings.</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