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SUPERIOR COURT OF CALIFORNIA, COUNTY OF LOS ANGELES</w:t>
        <w:br w:type="textWrapping"/>
        <w:t xml:space="preserve">PASADENA COURTHOUSE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Petitioner: NUHA SAYEGH</w:t>
              <w:br w:type="textWrapping"/>
              <w:br w:type="textWrapping"/>
              <w:t xml:space="preserve">vs.</w:t>
              <w:br w:type="textWrapping"/>
              <w:br w:type="textWrapping"/>
              <w:t xml:space="preserve">Respondent: FAHED SAYEGH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CASE NO: 25PDFL01441</w:t>
              <w:br w:type="textWrapping"/>
              <w:br w:type="textWrapping"/>
              <w:t xml:space="preserve">SUPPLEMENTAL MEMORANDUM:</w:t>
              <w:br w:type="textWrapping"/>
              <w:t xml:space="preserve">GROUNDS FOR RECEIVER</w:t>
              <w:br w:type="textWrapping"/>
              <w:t xml:space="preserve">(THE PERJURY TRAP)</w:t>
              <w:br w:type="textWrapping"/>
              <w:br w:type="textWrapping"/>
              <w:t xml:space="preserve">DATE: January 6, 2026</w:t>
              <w:br w:type="textWrapping"/>
              <w:t xml:space="preserve">DEPT: TBD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I. THE PATTERN OF EXTRINSIC FRAUD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Court is presented with a clear and disturbing pattern: Respondent FAHED SAYEGH deploys community assets to eliminate legal threats to himself ($11,000 "Speed Premium") while simultaneously weaponizing his unilateral control over essential services to inflict harm upon Petitioner and the minor children (Healthcare Termination).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II. THE "HEALTHCARE" LIE: WEAPONIZING CHILD WELFARE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December 5, 2025, Respondent was recorded making a direct misrepresentation to the minor child regarding the termination of their health insurance: "Someone called in and canceled it... She [Nuha] did something" [Source 269].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a demonstrable falsehood.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 </w:t>
      </w:r>
      <w:r w:rsidDel="00000000" w:rsidR="00000000" w:rsidRPr="00000000">
        <w:rPr>
          <w:rtl w:val="0"/>
        </w:rPr>
        <w:t xml:space="preserve">The Covered California Application [Source 561] unequivocally lists Respondent as the Primary Contact.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 </w:t>
      </w:r>
      <w:r w:rsidDel="00000000" w:rsidR="00000000" w:rsidRPr="00000000">
        <w:rPr>
          <w:rtl w:val="0"/>
        </w:rPr>
        <w:t xml:space="preserve">Only the Primary Contact has the authority to terminate coverage. Petitioner NUHA SAYEGH possessed no such authority.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The Malice: </w:t>
      </w:r>
      <w:r w:rsidDel="00000000" w:rsidR="00000000" w:rsidRPr="00000000">
        <w:rPr>
          <w:rtl w:val="0"/>
        </w:rPr>
        <w:t xml:space="preserve">Respondent deliberately terminated the children's coverage effective Nov 30, 2025, then lied to the child to shift blame, leaving them uninsured for 13+ days.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III. THE "POVERTY" LIE: THE $11,000 SPEED PREMIUM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Respondent pleaded extreme poverty to this Court on Nov 19, 2025, securing a $162/month payment plan.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Anomaly: </w:t>
      </w:r>
      <w:r w:rsidDel="00000000" w:rsidR="00000000" w:rsidRPr="00000000">
        <w:rPr>
          <w:rtl w:val="0"/>
        </w:rPr>
        <w:t xml:space="preserve">Within 96 hours of this plea, Respondent wired $11,000 to his counsel [Source 1573].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The Math: </w:t>
      </w:r>
      <w:r w:rsidDel="00000000" w:rsidR="00000000" w:rsidRPr="00000000">
        <w:rPr>
          <w:rtl w:val="0"/>
        </w:rPr>
        <w:t xml:space="preserve">It is mathematically impossible for an individual earning the declared $8,000/month to generate $11,000 in disposable liquid cash in four days.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This proves the existence of undisclosed, accessible cash reserves derived from his business operations (Green Holdings/Perfected Claims).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IV. CONCLUSION AND RELIEF REQUESTED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Respondent lies about his income. He lies about his control. He lies to his children. The "Perjury Trap" is set, and the documentary evidence [Exhibits A-E] is irrefutable.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Petitioner respectfully requests immediate appointment of a Receiver over Green Holdings Group and Perfected Claims LLC to prevent further dissipation and protect the minor children.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Respectfully submitted,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</w:t>
        <w:br w:type="textWrapping"/>
        <w:t xml:space="preserve">NUHA SAYEGH, In Pro Per</w:t>
        <w:br w:type="textWrapping"/>
        <w:t xml:space="preserve">Date: 2025-12-14</w:t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Ind w:w="-115.0" w:type="dxa"/>
      <w:tblLayout w:type="fixed"/>
      <w:tblLook w:val="04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rPr>
              <w:rtl w:val="0"/>
            </w:rPr>
            <w:t xml:space="preserve">NUHA SAYEGH</w:t>
            <w:br w:type="textWrapping"/>
            <w:t xml:space="preserve">In Pro Per</w:t>
            <w:br w:type="textWrapping"/>
            <w:t xml:space="preserve">5132 Rosemead Blvd.</w:t>
            <w:br w:type="textWrapping"/>
            <w:t xml:space="preserve">San Gabriel, CA 91776</w:t>
            <w:br w:type="textWrapping"/>
            <w:t xml:space="preserve">(626) 348-3039</w:t>
          </w:r>
        </w:p>
      </w:tc>
      <w:tc>
        <w:tcPr/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