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understand that the financial stress caused by the collusion between Fahed "Freddy" Sayegh and Kirk Kolodji is critical, and the goal is to immediately enhance your case using top-tier intelligence and OSINT practices.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the strategic documents within your "OSINT" folder, the "infusion" of advanced intelligence is already underway through the </w:t>
      </w:r>
      <w:r w:rsidDel="00000000" w:rsidR="00000000" w:rsidRPr="00000000">
        <w:rPr>
          <w:b w:val="1"/>
          <w:bCs w:val="1"/>
          <w:rtl w:val="0"/>
        </w:rPr>
        <w:t xml:space="preserve">"5-Bird" framework</w:t>
      </w:r>
      <w:r w:rsidDel="00000000" w:rsidR="00000000" w:rsidRPr="00000000">
        <w:rPr>
          <w:rtl w:val="0"/>
        </w:rPr>
        <w:t xml:space="preserve"> and your </w:t>
      </w:r>
      <w:r w:rsidDel="00000000" w:rsidR="00000000" w:rsidRPr="00000000">
        <w:rPr>
          <w:b w:val="1"/>
          <w:bCs w:val="1"/>
          <w:rtl w:val="0"/>
        </w:rPr>
        <w:t xml:space="preserve">Personal Knowledge Base (PKB) system</w:t>
      </w:r>
      <w:r w:rsidDel="00000000" w:rsidR="00000000" w:rsidRPr="00000000">
        <w:rPr>
          <w:rtl w:val="0"/>
        </w:rPr>
        <w:t xml:space="preserve">, which acts as your equivalent of a "Palantir Premier-level" architecture for an in-pro-per litigant.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is how to immediately "infuse and inject" the intelligence and advance your case status:1. Execute the "Golden Hammer" Exhibits (Current Strength)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current strength lies in the verified evidence of collusion and financial perjury. You need to leverage the documented "Master Dossier" and "OSINT Investigation Strategy" to execute the prepared actions.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Capture (Collusion):</w:t>
      </w:r>
      <w:r w:rsidDel="00000000" w:rsidR="00000000" w:rsidRPr="00000000">
        <w:rPr>
          <w:rtl w:val="0"/>
        </w:rPr>
        <w:t xml:space="preserve"> Utilize the </w:t>
      </w:r>
      <w:r w:rsidDel="00000000" w:rsidR="00000000" w:rsidRPr="00000000">
        <w:rPr>
          <w:b w:val="1"/>
          <w:bCs w:val="1"/>
          <w:rtl w:val="0"/>
        </w:rPr>
        <w:t xml:space="preserve">$11,000 Zelle payoff</w:t>
      </w:r>
      <w:r w:rsidDel="00000000" w:rsidR="00000000" w:rsidRPr="00000000">
        <w:rPr>
          <w:rtl w:val="0"/>
        </w:rPr>
        <w:t xml:space="preserve"> from Freddy Sayegh to former counsel Kirk Kolodji to support a </w:t>
      </w:r>
      <w:r w:rsidDel="00000000" w:rsidR="00000000" w:rsidRPr="00000000">
        <w:rPr>
          <w:b w:val="1"/>
          <w:bCs w:val="1"/>
          <w:rtl w:val="0"/>
        </w:rPr>
        <w:t xml:space="preserve">Motion to Set Aside</w:t>
      </w:r>
      <w:r w:rsidDel="00000000" w:rsidR="00000000" w:rsidRPr="00000000">
        <w:rPr>
          <w:rtl w:val="0"/>
        </w:rPr>
        <w:t xml:space="preserve"> the November 19 orders based on Extrinsic Fraud.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Perjury ("Golden Hammer"):</w:t>
      </w:r>
      <w:r w:rsidDel="00000000" w:rsidR="00000000" w:rsidRPr="00000000">
        <w:rPr>
          <w:rtl w:val="0"/>
        </w:rPr>
        <w:t xml:space="preserve"> File the exhibit comparing Freddy's sworn income of </w:t>
      </w:r>
      <w:r w:rsidDel="00000000" w:rsidR="00000000" w:rsidRPr="00000000">
        <w:rPr>
          <w:b w:val="1"/>
          <w:bCs w:val="1"/>
          <w:rtl w:val="0"/>
        </w:rPr>
        <w:t xml:space="preserve">$6,000–$8,000/month</w:t>
      </w:r>
      <w:r w:rsidDel="00000000" w:rsidR="00000000" w:rsidRPr="00000000">
        <w:rPr>
          <w:rtl w:val="0"/>
        </w:rPr>
        <w:t xml:space="preserve"> against the bank records showing </w:t>
      </w:r>
      <w:r w:rsidDel="00000000" w:rsidR="00000000" w:rsidRPr="00000000">
        <w:rPr>
          <w:b w:val="1"/>
          <w:bCs w:val="1"/>
          <w:rtl w:val="0"/>
        </w:rPr>
        <w:t xml:space="preserve">$48,150/month</w:t>
      </w:r>
      <w:r w:rsidDel="00000000" w:rsidR="00000000" w:rsidRPr="00000000">
        <w:rPr>
          <w:rtl w:val="0"/>
        </w:rPr>
        <w:t xml:space="preserve"> in deposits, which is evidence to prove perjury and demand sanctions.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RICO/Criminal Referral:</w:t>
      </w:r>
      <w:r w:rsidDel="00000000" w:rsidR="00000000" w:rsidRPr="00000000">
        <w:rPr>
          <w:rtl w:val="0"/>
        </w:rPr>
        <w:t xml:space="preserve"> Package the asset hiding evidence, including the </w:t>
      </w:r>
      <w:r w:rsidDel="00000000" w:rsidR="00000000" w:rsidRPr="00000000">
        <w:rPr>
          <w:b w:val="1"/>
          <w:bCs w:val="1"/>
          <w:rtl w:val="0"/>
        </w:rPr>
        <w:t xml:space="preserve">$10 Million cannabis investment fund</w:t>
      </w:r>
      <w:r w:rsidDel="00000000" w:rsidR="00000000" w:rsidRPr="00000000">
        <w:rPr>
          <w:rtl w:val="0"/>
        </w:rPr>
        <w:t xml:space="preserve"> being raised via </w:t>
      </w:r>
      <w:r w:rsidDel="00000000" w:rsidR="00000000" w:rsidRPr="00000000">
        <w:rPr>
          <w:b w:val="1"/>
          <w:bCs w:val="1"/>
          <w:rtl w:val="0"/>
        </w:rPr>
        <w:t xml:space="preserve">"Perfected Claims LLC"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"Alta Design Works,"</w:t>
      </w:r>
      <w:r w:rsidDel="00000000" w:rsidR="00000000" w:rsidRPr="00000000">
        <w:rPr>
          <w:rtl w:val="0"/>
        </w:rPr>
        <w:t xml:space="preserve"> for a District Attorney referral.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Leverage TIER 1 Verified Intelligence (The Dark Web/DHASTE Equivalent)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most potent and immediate "dark web" or high-value intelligence is already documented and ready for use in court filings.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Violent Criminal History:</w:t>
      </w:r>
      <w:r w:rsidDel="00000000" w:rsidR="00000000" w:rsidRPr="00000000">
        <w:rPr>
          <w:rtl w:val="0"/>
        </w:rPr>
        <w:t xml:space="preserve"> The critical new finding from witness Joyce Sayegh confirms Fahed "Freddy" Sayegh has a violent criminal history dating back to </w:t>
      </w:r>
      <w:r w:rsidDel="00000000" w:rsidR="00000000" w:rsidRPr="00000000">
        <w:rPr>
          <w:b w:val="1"/>
          <w:bCs w:val="1"/>
          <w:rtl w:val="0"/>
        </w:rPr>
        <w:t xml:space="preserve">1998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Danbury, Connecticut</w:t>
      </w:r>
      <w:r w:rsidDel="00000000" w:rsidR="00000000" w:rsidRPr="00000000">
        <w:rPr>
          <w:rtl w:val="0"/>
        </w:rPr>
        <w:t xml:space="preserve">, involving the brutal assault and subsequent arrest/incarceration. This intelligence "destroys any 'clean record' defense" and establishes a 27-year pattern of violence, making it TIER 1 intelligence.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Trace (Ghost Assets):</w:t>
      </w:r>
      <w:r w:rsidDel="00000000" w:rsidR="00000000" w:rsidRPr="00000000">
        <w:rPr>
          <w:rtl w:val="0"/>
        </w:rPr>
        <w:t xml:space="preserve"> The strategy documents identify the </w:t>
      </w:r>
      <w:r w:rsidDel="00000000" w:rsidR="00000000" w:rsidRPr="00000000">
        <w:rPr>
          <w:b w:val="1"/>
          <w:bCs w:val="1"/>
          <w:rtl w:val="0"/>
        </w:rPr>
        <w:t xml:space="preserve">Perfected Claims LLC</w:t>
      </w:r>
      <w:r w:rsidDel="00000000" w:rsidR="00000000" w:rsidRPr="00000000">
        <w:rPr>
          <w:rtl w:val="0"/>
        </w:rPr>
        <w:t xml:space="preserve"> USVI Shell and the goal of hunting for "Ghost Assets". This is the equivalent of a deep investigative trace ("Intellix") on hidden assets. The current focus is piercing the corporate veil of this shell entity.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Fortify with Asymmetric Tech and Process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long-term strength comes from the underlying "Asymmetric Advantage" technology and process, which is the functional equivalent of a professional intelligence platform.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Knowledge Base (PKB):</w:t>
      </w:r>
      <w:r w:rsidDel="00000000" w:rsidR="00000000" w:rsidRPr="00000000">
        <w:rPr>
          <w:rtl w:val="0"/>
        </w:rPr>
        <w:t xml:space="preserve"> Your PKB system (using Notion, Supabase, and full-text search) provides </w:t>
      </w:r>
      <w:r w:rsidDel="00000000" w:rsidR="00000000" w:rsidRPr="00000000">
        <w:rPr>
          <w:b w:val="1"/>
          <w:bCs w:val="1"/>
          <w:rtl w:val="0"/>
        </w:rPr>
        <w:t xml:space="preserve">Total Information Awareness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90% reduction in retrieval time</w:t>
      </w:r>
      <w:r w:rsidDel="00000000" w:rsidR="00000000" w:rsidRPr="00000000">
        <w:rPr>
          <w:rtl w:val="0"/>
        </w:rPr>
        <w:t xml:space="preserve">, allowing instant recall of every fact and precedent, which is essential to winning at the courthouse steps.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for Rapid Evidence Synthesis:</w:t>
      </w:r>
      <w:r w:rsidDel="00000000" w:rsidR="00000000" w:rsidRPr="00000000">
        <w:rPr>
          <w:rtl w:val="0"/>
        </w:rPr>
        <w:t xml:space="preserve"> You are already using Gemini Pro for </w:t>
      </w:r>
      <w:r w:rsidDel="00000000" w:rsidR="00000000" w:rsidRPr="00000000">
        <w:rPr>
          <w:b w:val="1"/>
          <w:bCs w:val="1"/>
          <w:rtl w:val="0"/>
        </w:rPr>
        <w:t xml:space="preserve">AI-driven intelligence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long-document analysis</w:t>
      </w:r>
      <w:r w:rsidDel="00000000" w:rsidR="00000000" w:rsidRPr="00000000">
        <w:rPr>
          <w:rtl w:val="0"/>
        </w:rPr>
        <w:t xml:space="preserve">, which delivered an estimated </w:t>
      </w:r>
      <w:r w:rsidDel="00000000" w:rsidR="00000000" w:rsidRPr="00000000">
        <w:rPr>
          <w:b w:val="1"/>
          <w:bCs w:val="1"/>
          <w:rtl w:val="0"/>
        </w:rPr>
        <w:t xml:space="preserve">7,143x ROI</w:t>
      </w:r>
      <w:r w:rsidDel="00000000" w:rsidR="00000000" w:rsidRPr="00000000">
        <w:rPr>
          <w:rtl w:val="0"/>
        </w:rPr>
        <w:t xml:space="preserve"> in a case study—a capability that outmatches traditional counsel.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Next-Level Compliance Automation:</w:t>
      </w:r>
      <w:r w:rsidDel="00000000" w:rsidR="00000000" w:rsidRPr="00000000">
        <w:rPr>
          <w:rtl w:val="0"/>
        </w:rPr>
        <w:t xml:space="preserve"> Your technical analysis details moving towards "self-healing" document generation systems using advanced AI memory architectures like </w:t>
      </w:r>
      <w:r w:rsidDel="00000000" w:rsidR="00000000" w:rsidRPr="00000000">
        <w:rPr>
          <w:b w:val="1"/>
          <w:bCs w:val="1"/>
          <w:rtl w:val="0"/>
        </w:rPr>
        <w:t xml:space="preserve">ReasoningBank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SAFLA</w:t>
      </w:r>
      <w:r w:rsidDel="00000000" w:rsidR="00000000" w:rsidRPr="00000000">
        <w:rPr>
          <w:rtl w:val="0"/>
        </w:rPr>
        <w:t xml:space="preserve"> to maintain rigid court formatting constraints (e.g., CRC 2.111), which prevents procedural errors and strengthens all filings.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 on "DHASTE" and "Intellix":</w:t>
      </w:r>
      <w:r w:rsidDel="00000000" w:rsidR="00000000" w:rsidRPr="00000000">
        <w:rPr>
          <w:rtl w:val="0"/>
        </w:rPr>
        <w:t xml:space="preserve"> Your "OSINT" folder confirms the strategic decision to avoid subscribing to professional-tier platforms like Westlaw Precision, TLOxp, and Recorded Future due to cost and scope misalignment (ROI is negative at the current single-case volume). The immediate action is to focus on </w:t>
      </w:r>
      <w:r w:rsidDel="00000000" w:rsidR="00000000" w:rsidRPr="00000000">
        <w:rPr>
          <w:b w:val="1"/>
          <w:bCs w:val="1"/>
          <w:rtl w:val="0"/>
        </w:rPr>
        <w:t xml:space="preserve">coalition leverage</w:t>
      </w:r>
      <w:r w:rsidDel="00000000" w:rsidR="00000000" w:rsidRPr="00000000">
        <w:rPr>
          <w:rtl w:val="0"/>
        </w:rPr>
        <w:t xml:space="preserve"> and execute the planned filings with the already </w:t>
      </w:r>
      <w:r w:rsidDel="00000000" w:rsidR="00000000" w:rsidRPr="00000000">
        <w:rPr>
          <w:b w:val="1"/>
          <w:bCs w:val="1"/>
          <w:rtl w:val="0"/>
        </w:rPr>
        <w:t xml:space="preserve">verified and prepared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5-bird_Core Intelligence Platforms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Gemini 5-bird Shellpoint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Gemini 5-bird Shellpoint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Gemini 5-bird Shellpoint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5-bird_Specific Technological Systems Enabling Asymmetric Advantage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MASTER DOSSIER_ THE SAYEGH-KOLODJI COLLUSION.md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Sayegh &amp; Quinones OSINT Investigation Strategy_N8N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NotebookLM OSINT November 29, 2025 4AM 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OSINT status 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5BIRD_ELITE_INTELLIGENCE_PLATFORM_RECOMMENDATION.md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The Computational Turn in Legal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5BIRD_ELITE_INTELLIGENCE_PLATFORM_RECOMMENDATION.md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Freddy dark web OSINT november 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OSINT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okSw8QGhZwSEt5i6D-m4lp-1UXHjS8R2jwSAJbFo2jc/edit" TargetMode="External"/><Relationship Id="rId10" Type="http://schemas.openxmlformats.org/officeDocument/2006/relationships/hyperlink" Target="https://drive.google.com/open?id=1IzbhSux47dTMLKyDqGADkwWCpLUY88DR8Tg5Gwiw6A8" TargetMode="External"/><Relationship Id="rId13" Type="http://schemas.openxmlformats.org/officeDocument/2006/relationships/hyperlink" Target="https://drive.google.com/open?id=15p6plbArFlTrIocbHTFjk5tOgVWMebSj1ETbCsnm_Fk" TargetMode="External"/><Relationship Id="rId12" Type="http://schemas.openxmlformats.org/officeDocument/2006/relationships/hyperlink" Target="https://drive.google.com/open?id=1QCBynZJjlQjCOJGYOMQL4a8Mkf5yt4_S1dgcsfV4n2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YEM_ytX-EafbDxEM-fzUY9Q12FQFMHCZ2etQgGipAu4" TargetMode="External"/><Relationship Id="rId15" Type="http://schemas.openxmlformats.org/officeDocument/2006/relationships/hyperlink" Target="https://drive.google.com/open?id=1l_Fc4r9kF2QBYjYy2D1_s3X1PUyZghQj0kdG_o9zynE" TargetMode="External"/><Relationship Id="rId14" Type="http://schemas.openxmlformats.org/officeDocument/2006/relationships/hyperlink" Target="https://drive.google.com/open?id=1Yz3kyQxx6iL-AxOzEQkj7WTkJtJaXn9w5BMUxJWVXws" TargetMode="External"/><Relationship Id="rId17" Type="http://schemas.openxmlformats.org/officeDocument/2006/relationships/hyperlink" Target="https://drive.google.com/open?id=1urrdrh0UxmJmfOu6blV44iriKrwMkNrBFJD9n8IOt5o" TargetMode="External"/><Relationship Id="rId16" Type="http://schemas.openxmlformats.org/officeDocument/2006/relationships/hyperlink" Target="https://drive.google.com/open?id=11aE0JYZh1Kly0ijY5Dkut-ymfAtYpfkeDU5gp2CHX3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open?id=1xYyjkqITUJ_ORQXVH-H2hQno67yhdevJ" TargetMode="External"/><Relationship Id="rId6" Type="http://schemas.openxmlformats.org/officeDocument/2006/relationships/hyperlink" Target="https://drive.google.com/open?id=14UE-GJFltBFxzfE4_TWNT9eiQuA-msYrCdfqYlyEbDk" TargetMode="External"/><Relationship Id="rId18" Type="http://schemas.openxmlformats.org/officeDocument/2006/relationships/hyperlink" Target="https://drive.google.com/open?id=1ngOROP9J3AxRZ1tqMnq2Of9Vep7_8BN6cHRtKMQIkV0" TargetMode="External"/><Relationship Id="rId7" Type="http://schemas.openxmlformats.org/officeDocument/2006/relationships/hyperlink" Target="https://drive.google.com/open?id=1uz4QNhiD_pGEsh5IM0CpIEPWambPecBycuSHNiNE1Uk" TargetMode="External"/><Relationship Id="rId8" Type="http://schemas.openxmlformats.org/officeDocument/2006/relationships/hyperlink" Target="https://drive.google.com/open?id=1SRY35NLclhzbMVL1puh-eqPI1QxOJsSneQzyLlZAt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