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Based on the comprehensive intelligence extracted and synthesized in the CONTEXT_BRIDGE_MEMORANDUM_NOV14 documents, the status of the </w:t>
      </w:r>
      <w:r w:rsidDel="00000000" w:rsidR="00000000" w:rsidRPr="00000000">
        <w:rPr>
          <w:i w:val="1"/>
          <w:iCs w:val="1"/>
          <w:rtl w:val="0"/>
        </w:rPr>
        <w:t xml:space="preserve">Sayegh vs. Sayegh</w:t>
      </w:r>
      <w:r w:rsidDel="00000000" w:rsidR="00000000" w:rsidRPr="00000000">
        <w:rPr>
          <w:rtl w:val="0"/>
        </w:rPr>
        <w:t xml:space="preserve"> (SVS) DVRO/Divorce case is positioned for a high-leverage outcome at the upcoming November 19 hearing.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system confirms that </w:t>
      </w:r>
      <w:r w:rsidDel="00000000" w:rsidR="00000000" w:rsidRPr="00000000">
        <w:rPr>
          <w:b w:val="1"/>
          <w:bCs w:val="1"/>
          <w:rtl w:val="0"/>
        </w:rPr>
        <w:t xml:space="preserve">all deliverables are complete</w:t>
      </w:r>
      <w:r w:rsidDel="00000000" w:rsidR="00000000" w:rsidRPr="00000000">
        <w:rPr>
          <w:rtl w:val="0"/>
        </w:rPr>
        <w:t xml:space="preserve">, and the conservative financial forecast projects significant recovery and long-term business value for the Recovery Compass platform.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yp94548oe7m3" w:id="0"/>
      <w:bookmarkEnd w:id="0"/>
      <w:r w:rsidDel="00000000" w:rsidR="00000000" w:rsidRPr="00000000">
        <w:rPr>
          <w:b w:val="1"/>
          <w:bCs w:val="1"/>
          <w:rtl w:val="0"/>
        </w:rPr>
        <w:t xml:space="preserve">SAYEGH CASE: COMPLETE DELIVERABLES AND FINANCIAL FORECAST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execution phase, following the strategic reassessment, generated a complete set of critical legal and analytical tools for the case.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qtypu5mzrecn" w:id="1"/>
      <w:bookmarkEnd w:id="1"/>
      <w:r w:rsidDel="00000000" w:rsidR="00000000" w:rsidRPr="00000000">
        <w:rPr>
          <w:b w:val="1"/>
          <w:bCs w:val="1"/>
          <w:rtl w:val="0"/>
        </w:rPr>
        <w:t xml:space="preserve">1. Case Strength and Deliverables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Sayegh case is rated in the </w:t>
      </w:r>
      <w:r w:rsidDel="00000000" w:rsidR="00000000" w:rsidRPr="00000000">
        <w:rPr>
          <w:b w:val="1"/>
          <w:bCs w:val="1"/>
          <w:rtl w:val="0"/>
        </w:rPr>
        <w:t xml:space="preserve">Elite Tier</w:t>
      </w:r>
      <w:r w:rsidDel="00000000" w:rsidR="00000000" w:rsidRPr="00000000">
        <w:rPr>
          <w:rtl w:val="0"/>
        </w:rPr>
        <w:t xml:space="preserve"> with a confirmed case strength of </w:t>
      </w:r>
      <w:r w:rsidDel="00000000" w:rsidR="00000000" w:rsidRPr="00000000">
        <w:rPr>
          <w:b w:val="1"/>
          <w:bCs w:val="1"/>
          <w:rtl w:val="0"/>
        </w:rPr>
        <w:t xml:space="preserve">92/100</w:t>
      </w:r>
      <w:r w:rsidDel="00000000" w:rsidR="00000000" w:rsidRPr="00000000">
        <w:rPr>
          <w:rtl w:val="0"/>
        </w:rPr>
        <w:t xml:space="preserve">. The foundational AI analysis for this case provided an ROI of </w:t>
      </w:r>
      <w:r w:rsidDel="00000000" w:rsidR="00000000" w:rsidRPr="00000000">
        <w:rPr>
          <w:b w:val="1"/>
          <w:bCs w:val="1"/>
          <w:rtl w:val="0"/>
        </w:rPr>
        <w:t xml:space="preserve">7,143x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Elite 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Hearing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November 19 hearing is 5 days away.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Utilization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confirmed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probability that Attorney Sara Memari will use the evidence package is estimated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Adversary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Disbarred Attorney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Freddy Sayegh (State Bar #230297) was disbarred effective February 14, 2025, and is committing unauthorized practice of law.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items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Dashboards, analysis documents, and communication tools are complete.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Key Deliverables Generated</w:t>
      </w:r>
      <w:r w:rsidDel="00000000" w:rsidR="00000000" w:rsidRPr="00000000">
        <w:rPr>
          <w:rtl w:val="0"/>
        </w:rPr>
        <w:t xml:space="preserve">: The deliverables provide a </w:t>
      </w:r>
      <w:r w:rsidDel="00000000" w:rsidR="00000000" w:rsidRPr="00000000">
        <w:rPr>
          <w:b w:val="1"/>
          <w:bCs w:val="1"/>
          <w:rtl w:val="0"/>
        </w:rPr>
        <w:t xml:space="preserve">unified strategic view</w:t>
      </w:r>
      <w:r w:rsidDel="00000000" w:rsidR="00000000" w:rsidRPr="00000000">
        <w:rPr>
          <w:rtl w:val="0"/>
        </w:rPr>
        <w:t xml:space="preserve"> and include two major dashboards, five analysis documents, three communication items, and four tool improvements. These include the </w:t>
      </w:r>
      <w:r w:rsidDel="00000000" w:rsidR="00000000" w:rsidRPr="00000000">
        <w:rPr>
          <w:b w:val="1"/>
          <w:bCs w:val="1"/>
          <w:rtl w:val="0"/>
        </w:rPr>
        <w:t xml:space="preserve">Sayegh Live Dashboard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Financial Forecast</w:t>
      </w:r>
      <w:r w:rsidDel="00000000" w:rsidR="00000000" w:rsidRPr="00000000">
        <w:rPr>
          <w:rtl w:val="0"/>
        </w:rPr>
        <w:t xml:space="preserve"> (conservative, evidence-based), the </w:t>
      </w:r>
      <w:r w:rsidDel="00000000" w:rsidR="00000000" w:rsidRPr="00000000">
        <w:rPr>
          <w:b w:val="1"/>
          <w:bCs w:val="1"/>
          <w:rtl w:val="0"/>
        </w:rPr>
        <w:t xml:space="preserve">Master Briefing for Nuha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Psychological Subtext Analysis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Context Bridge Memorandum</w:t>
      </w:r>
      <w:r w:rsidDel="00000000" w:rsidR="00000000" w:rsidRPr="00000000">
        <w:rPr>
          <w:rtl w:val="0"/>
        </w:rPr>
        <w:t xml:space="preserve"> itself. A specific technical tool, the </w:t>
      </w:r>
      <w:r w:rsidDel="00000000" w:rsidR="00000000" w:rsidRPr="00000000">
        <w:rPr>
          <w:b w:val="1"/>
          <w:bCs w:val="1"/>
          <w:rtl w:val="0"/>
        </w:rPr>
        <w:t xml:space="preserve">Wispr Flow Autocorrect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was created to solve systematic transcription errors (like Naha→Nuha).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mosxmneg6f8a" w:id="2"/>
      <w:bookmarkEnd w:id="2"/>
      <w:r w:rsidDel="00000000" w:rsidR="00000000" w:rsidRPr="00000000">
        <w:rPr>
          <w:b w:val="1"/>
          <w:bCs w:val="1"/>
          <w:rtl w:val="0"/>
        </w:rPr>
        <w:t xml:space="preserve">2. Financial Forecast and ROI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projected financial value associated with the successful prosecution and resolution of the Sayegh case, combined with the subsequent monetization of the underlying intellectual property (IP), is exceptionally high: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Recovery Forecast:</w:t>
      </w:r>
      <w:r w:rsidDel="00000000" w:rsidR="00000000" w:rsidRPr="00000000">
        <w:rPr>
          <w:rtl w:val="0"/>
        </w:rPr>
        <w:t xml:space="preserve"> The projected value for the Sayegh DVRO case is estimated between </w:t>
      </w:r>
      <w:r w:rsidDel="00000000" w:rsidR="00000000" w:rsidRPr="00000000">
        <w:rPr>
          <w:b w:val="1"/>
          <w:bCs w:val="1"/>
          <w:rtl w:val="0"/>
        </w:rPr>
        <w:t xml:space="preserve">$190K-$380K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Financial Forecast (2 Years):</w:t>
      </w:r>
      <w:r w:rsidDel="00000000" w:rsidR="00000000" w:rsidRPr="00000000">
        <w:rPr>
          <w:rtl w:val="0"/>
        </w:rPr>
        <w:t xml:space="preserve"> The comprehensive financial forecast predicts </w:t>
      </w:r>
      <w:r w:rsidDel="00000000" w:rsidR="00000000" w:rsidRPr="00000000">
        <w:rPr>
          <w:b w:val="1"/>
          <w:bCs w:val="1"/>
          <w:rtl w:val="0"/>
        </w:rPr>
        <w:t xml:space="preserve">$1.76M over 2 years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Payment/Support:</w:t>
      </w:r>
      <w:r w:rsidDel="00000000" w:rsidR="00000000" w:rsidRPr="00000000">
        <w:rPr>
          <w:rtl w:val="0"/>
        </w:rPr>
        <w:t xml:space="preserve"> Nuha's financial independence is projected to be </w:t>
      </w:r>
      <w:r w:rsidDel="00000000" w:rsidR="00000000" w:rsidRPr="00000000">
        <w:rPr>
          <w:b w:val="1"/>
          <w:bCs w:val="1"/>
          <w:rtl w:val="0"/>
        </w:rPr>
        <w:t xml:space="preserve">8–12 days away</w:t>
      </w:r>
      <w:r w:rsidDel="00000000" w:rsidR="00000000" w:rsidRPr="00000000">
        <w:rPr>
          <w:rtl w:val="0"/>
        </w:rPr>
        <w:t xml:space="preserve">, with an estimated first payment of </w:t>
      </w:r>
      <w:r w:rsidDel="00000000" w:rsidR="00000000" w:rsidRPr="00000000">
        <w:rPr>
          <w:b w:val="1"/>
          <w:bCs w:val="1"/>
          <w:rtl w:val="0"/>
        </w:rPr>
        <w:t xml:space="preserve">$8,500-$12,000</w:t>
      </w:r>
      <w:r w:rsidDel="00000000" w:rsidR="00000000" w:rsidRPr="00000000">
        <w:rPr>
          <w:rtl w:val="0"/>
        </w:rPr>
        <w:t xml:space="preserve"> anticipated shortly after the November 19 hearing.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ROI Justification:</w:t>
      </w:r>
      <w:r w:rsidDel="00000000" w:rsidR="00000000" w:rsidRPr="00000000">
        <w:rPr>
          <w:rtl w:val="0"/>
        </w:rPr>
        <w:t xml:space="preserve"> The case validates the </w:t>
      </w:r>
      <w:r w:rsidDel="00000000" w:rsidR="00000000" w:rsidRPr="00000000">
        <w:rPr>
          <w:b w:val="1"/>
          <w:bCs w:val="1"/>
          <w:rtl w:val="0"/>
        </w:rPr>
        <w:t xml:space="preserve">5-Bird Platform</w:t>
      </w:r>
      <w:r w:rsidDel="00000000" w:rsidR="00000000" w:rsidRPr="00000000">
        <w:rPr>
          <w:rtl w:val="0"/>
        </w:rPr>
        <w:t xml:space="preserve"> methodology, demonstrating a proven ROI of </w:t>
      </w:r>
      <w:r w:rsidDel="00000000" w:rsidR="00000000" w:rsidRPr="00000000">
        <w:rPr>
          <w:b w:val="1"/>
          <w:bCs w:val="1"/>
          <w:rtl w:val="0"/>
        </w:rPr>
        <w:t xml:space="preserve">7,143x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u2kqjimhfd4x" w:id="3"/>
      <w:bookmarkEnd w:id="3"/>
      <w:r w:rsidDel="00000000" w:rsidR="00000000" w:rsidRPr="00000000">
        <w:rPr>
          <w:b w:val="1"/>
          <w:bCs w:val="1"/>
          <w:rtl w:val="0"/>
        </w:rPr>
        <w:t xml:space="preserve">3. Critical Strategic Intelligence Breakthroughs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deep analysis phase yielded several "Game Changer" insights that maximize judicial leverage and platform monetization potential: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Judicial Outrage Lever:</w:t>
      </w:r>
      <w:r w:rsidDel="00000000" w:rsidR="00000000" w:rsidRPr="00000000">
        <w:rPr>
          <w:rtl w:val="0"/>
        </w:rPr>
        <w:t xml:space="preserve"> The single most impactful financial discovery is that </w:t>
      </w:r>
      <w:r w:rsidDel="00000000" w:rsidR="00000000" w:rsidRPr="00000000">
        <w:rPr>
          <w:b w:val="1"/>
          <w:bCs w:val="1"/>
          <w:rtl w:val="0"/>
        </w:rPr>
        <w:t xml:space="preserve">Nuha is on food stamps while Freddy earns $480K/year</w:t>
      </w:r>
      <w:r w:rsidDel="00000000" w:rsidR="00000000" w:rsidRPr="00000000">
        <w:rPr>
          <w:rtl w:val="0"/>
        </w:rPr>
        <w:t xml:space="preserve">. This economic disparity maximizes support orders and creates "judicial outrage," which Attorney Sara Memari plans to lead with at the November 19 hearing.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Systemic IP Opportunity:</w:t>
      </w:r>
      <w:r w:rsidDel="00000000" w:rsidR="00000000" w:rsidRPr="00000000">
        <w:rPr>
          <w:rtl w:val="0"/>
        </w:rPr>
        <w:t xml:space="preserve"> The case led to the discovery of </w:t>
      </w:r>
      <w:r w:rsidDel="00000000" w:rsidR="00000000" w:rsidRPr="00000000">
        <w:rPr>
          <w:b w:val="1"/>
          <w:bCs w:val="1"/>
          <w:rtl w:val="0"/>
        </w:rPr>
        <w:t xml:space="preserve">critical systemic vulnerabilities in the CLETS/CARPOS databases</w:t>
      </w:r>
      <w:r w:rsidDel="00000000" w:rsidR="00000000" w:rsidRPr="00000000">
        <w:rPr>
          <w:rtl w:val="0"/>
        </w:rPr>
        <w:t xml:space="preserve"> (displaying a false 'adult-only' status despite the court order protecting the children). This discovery represents a Tier 1 strategic opportunity for the 5-Bird platform: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Strategic Pivot:</w:t>
      </w:r>
      <w:r w:rsidDel="00000000" w:rsidR="00000000" w:rsidRPr="00000000">
        <w:rPr>
          <w:rtl w:val="0"/>
        </w:rPr>
        <w:t xml:space="preserve"> The recommended strategy is to </w:t>
      </w:r>
      <w:r w:rsidDel="00000000" w:rsidR="00000000" w:rsidRPr="00000000">
        <w:rPr>
          <w:b w:val="1"/>
          <w:bCs w:val="1"/>
          <w:rtl w:val="0"/>
        </w:rPr>
        <w:t xml:space="preserve">productize this discovery</w:t>
      </w:r>
      <w:r w:rsidDel="00000000" w:rsidR="00000000" w:rsidRPr="00000000">
        <w:rPr>
          <w:rtl w:val="0"/>
        </w:rPr>
        <w:t xml:space="preserve"> (creating playbooks and templates) rather than filing a novel systemic litigation case.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Platform Monetization:</w:t>
      </w:r>
      <w:r w:rsidDel="00000000" w:rsidR="00000000" w:rsidRPr="00000000">
        <w:rPr>
          <w:rtl w:val="0"/>
        </w:rPr>
        <w:t xml:space="preserve"> Productizing the systemic vulnerabilities is projected to generate </w:t>
      </w:r>
      <w:r w:rsidDel="00000000" w:rsidR="00000000" w:rsidRPr="00000000">
        <w:rPr>
          <w:b w:val="1"/>
          <w:bCs w:val="1"/>
          <w:rtl w:val="0"/>
        </w:rPr>
        <w:t xml:space="preserve">$1.2M-$3.4M in revenue over 24 months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RICO Pattern Documentation:</w:t>
      </w:r>
      <w:r w:rsidDel="00000000" w:rsidR="00000000" w:rsidRPr="00000000">
        <w:rPr>
          <w:rtl w:val="0"/>
        </w:rPr>
        <w:t xml:space="preserve"> The intelligence scan extracted </w:t>
      </w:r>
      <w:r w:rsidDel="00000000" w:rsidR="00000000" w:rsidRPr="00000000">
        <w:rPr>
          <w:b w:val="1"/>
          <w:bCs w:val="1"/>
          <w:rtl w:val="0"/>
        </w:rPr>
        <w:t xml:space="preserve">three nuclear smoking guns</w:t>
      </w:r>
      <w:r w:rsidDel="00000000" w:rsidR="00000000" w:rsidRPr="00000000">
        <w:rPr>
          <w:rtl w:val="0"/>
        </w:rPr>
        <w:t xml:space="preserve"> in 15 minutes, confirming a multi-generational </w:t>
      </w:r>
      <w:r w:rsidDel="00000000" w:rsidR="00000000" w:rsidRPr="00000000">
        <w:rPr>
          <w:b w:val="1"/>
          <w:bCs w:val="1"/>
          <w:rtl w:val="0"/>
        </w:rPr>
        <w:t xml:space="preserve">RICO pattern</w:t>
      </w:r>
      <w:r w:rsidDel="00000000" w:rsidR="00000000" w:rsidRPr="00000000">
        <w:rPr>
          <w:rtl w:val="0"/>
        </w:rPr>
        <w:t xml:space="preserve"> (including coordinated asset fraud and cross-state activity). Freddy Sayegh's disbarment is central to this pattern.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Metaphor:</w:t>
      </w:r>
      <w:r w:rsidDel="00000000" w:rsidR="00000000" w:rsidRPr="00000000">
        <w:rPr>
          <w:rtl w:val="0"/>
        </w:rPr>
        <w:t xml:space="preserve"> The Sayegh case is not just a battle; it is the </w:t>
      </w:r>
      <w:r w:rsidDel="00000000" w:rsidR="00000000" w:rsidRPr="00000000">
        <w:rPr>
          <w:b w:val="1"/>
          <w:bCs w:val="1"/>
          <w:rtl w:val="0"/>
        </w:rPr>
        <w:t xml:space="preserve">"eagle that leads the formation"</w:t>
      </w:r>
      <w:r w:rsidDel="00000000" w:rsidR="00000000" w:rsidRPr="00000000">
        <w:rPr>
          <w:rtl w:val="0"/>
        </w:rPr>
        <w:t xml:space="preserve">. The successful deployment of the 5-Bird Framework in this case—using highly focused intelligence (Bird 1) to document systemic flaws and expose financial fraud—provides the </w:t>
      </w:r>
      <w:r w:rsidDel="00000000" w:rsidR="00000000" w:rsidRPr="00000000">
        <w:rPr>
          <w:b w:val="1"/>
          <w:bCs w:val="1"/>
          <w:rtl w:val="0"/>
        </w:rPr>
        <w:t xml:space="preserve">battle-tested credibility</w:t>
      </w:r>
      <w:r w:rsidDel="00000000" w:rsidR="00000000" w:rsidRPr="00000000">
        <w:rPr>
          <w:rtl w:val="0"/>
        </w:rPr>
        <w:t xml:space="preserve"> needed to launch the entire Recovery Compass platform and secure the projected multi-million dollar revenue stream from its derived products.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