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CRIMINAL AND CIVIL OFFENSES BY NUHA SAYEGH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September 29, 2025 at 8:17:39 PM PDT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Potential Criminal Offenses (California)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a False Police Report (PC §148.5)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Repeated false claims of domestic violence, abandonment, and child abuse.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Perjury (PC §118)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If she made false statements under oath in restraining order filings or to DCFS.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Forgery / Offering False Document (PC §§470, 115)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Sending unsigned or fraudulent court documents (restraining order paperwork) to your children’s schools, misrepresenting court authority.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Custody Deprivation / Interference (PC §278.5)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Attempting to withhold the children from you by circulating false restraining orders and letters.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Extortion / Blackmail (PC §518)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Making false claims (e.g., that you are gay, or committing fraud in your community work) in order to coerce or pressure you.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Defrauding Another of Property by False Pretenses (PC §532)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Her cancer hoax to obtain money and property.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Personation (PC §529)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If she impersonated court authority or represented herself falsely in communications with the schools.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🔹 Potential Civil Causes of Action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Defamation (Libel/Slander)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Repeated lies to relatives, schools, DCFS, police, and the community.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Statements accusing you of abuse, fraud, or homosexuality (if intended to harm reputation).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These are defamation per se (accusing someone of crimes or fraud).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Malicious Prosecution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False restraining order filings and criminal accusations that were dismissed in your favor.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Abuse of Process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Misuse of legal proceedings and restraining orders to harass and interfere with your parental rights.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&amp; Deceit (Civ. Code §§1709–1710)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Fabricated cancer diagnosis, induced monetary payments, Cadillac purchase.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/ Civil Theft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Wrongfully obtaining your money and property under false pretenses.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Intentional Infliction of Emotional Distress (IIED)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Outrageous conduct (false arrests, fake restraining orders, humiliation in community, extortion).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Tortious Interference with Parental Rights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Sending fraudulent restraining orders to your children’s schools, trying to block your access despite denial in court.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Tortious Interference with Business Relations / Economic Advantage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False public claims that you are “defrauding Altadena residents” intended to damage your professional and community reputation.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Extortion / Civil RICO Theory (if pattern exists)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If she systematically used lies, fraud, and threats to obtain money/property and damage your reputation.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🔹 Damages You Could Claim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Bail, attorney’s fees, DV class costs, housing displacement, lost income, money fraudulently taken ($100k+).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Non-economic: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Emotional distress, loss of reputation in community, harm to parent-child relationship.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Punitive: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Available where malice, fraud, or oppression is proven (likely here).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ALTADENA COALITION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East Woodbury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California 91001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O/310-877-5033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F/310-895-1180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www.thealtadena.com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One attachment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 Scanned by Gmail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