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628jtocflxf" w:id="0"/>
      <w:bookmarkEnd w:id="0"/>
      <w:r w:rsidDel="00000000" w:rsidR="00000000" w:rsidRPr="00000000">
        <w:rPr>
          <w:rtl w:val="0"/>
        </w:rPr>
        <w:t xml:space="preserve">Jones Trust Demurrer Strategy Reference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Case-01 (Jones Trust)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Procedural Advantage:</w:t>
      </w:r>
      <w:r w:rsidDel="00000000" w:rsidR="00000000" w:rsidRPr="00000000">
        <w:rPr>
          <w:rtl w:val="0"/>
        </w:rPr>
        <w:t xml:space="preserve"> PC 850 Petition Strategy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V16 Compliant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k2p7limdvev" w:id="1"/>
      <w:bookmarkEnd w:id="1"/>
      <w:r w:rsidDel="00000000" w:rsidR="00000000" w:rsidRPr="00000000">
        <w:rPr>
          <w:rtl w:val="0"/>
        </w:rPr>
        <w:t xml:space="preserve">Critical Legal Holding</w:t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"A demurrer may be filed any time at or before the initial hearing in a probate case."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California appellate ruling on probate procedure.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isirww30tefq" w:id="2"/>
      <w:bookmarkEnd w:id="2"/>
      <w:r w:rsidDel="00000000" w:rsidR="00000000" w:rsidRPr="00000000">
        <w:rPr>
          <w:rtl w:val="0"/>
        </w:rPr>
        <w:t xml:space="preserve">Strategic Application (Nicora Law Countdown)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utasapkq7suq" w:id="3"/>
      <w:bookmarkEnd w:id="3"/>
      <w:r w:rsidDel="00000000" w:rsidR="00000000" w:rsidRPr="00000000">
        <w:rPr>
          <w:rtl w:val="0"/>
        </w:rPr>
        <w:t xml:space="preserve">Why This Matters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Under standard civil procedure, a demurrer must typically be filed within 30 days of service. </w:t>
      </w:r>
      <w:r w:rsidDel="00000000" w:rsidR="00000000" w:rsidRPr="00000000">
        <w:rPr>
          <w:b w:val="1"/>
          <w:bCs w:val="1"/>
          <w:rtl w:val="0"/>
        </w:rPr>
        <w:t xml:space="preserve">Probate is different.</w:t>
      </w:r>
      <w:r w:rsidDel="00000000" w:rsidR="00000000" w:rsidRPr="00000000">
        <w:rPr>
          <w:rtl w:val="0"/>
        </w:rPr>
        <w:t xml:space="preserve"> This holding maximizes our strategic silence period against Nicora Law because: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Extended Timeline:</w:t>
      </w:r>
      <w:r w:rsidDel="00000000" w:rsidR="00000000" w:rsidRPr="00000000">
        <w:rPr>
          <w:rtl w:val="0"/>
        </w:rPr>
        <w:t xml:space="preserve"> We are not obligated to respond to any pleading until the initial hearing date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Asymmetry:</w:t>
      </w:r>
      <w:r w:rsidDel="00000000" w:rsidR="00000000" w:rsidRPr="00000000">
        <w:rPr>
          <w:rtl w:val="0"/>
        </w:rPr>
        <w:t xml:space="preserve"> Nicora cannot force our hand prematurely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Preparation Window:</w:t>
      </w:r>
      <w:r w:rsidDel="00000000" w:rsidR="00000000" w:rsidRPr="00000000">
        <w:rPr>
          <w:rtl w:val="0"/>
        </w:rPr>
        <w:t xml:space="preserve"> Full discovery and evidence organization before any substantive response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kptqtuu0zl76" w:id="4"/>
      <w:bookmarkEnd w:id="4"/>
      <w:r w:rsidDel="00000000" w:rsidR="00000000" w:rsidRPr="00000000">
        <w:rPr>
          <w:rtl w:val="0"/>
        </w:rPr>
        <w:t xml:space="preserve">Recommended Motion Language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When drafting any motion or response for the Jones Trust case, include: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reserves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demurrer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consistent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procedural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proceedings.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[Appellate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Citation].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2n6qinx99tcy" w:id="5"/>
      <w:bookmarkEnd w:id="5"/>
      <w:r w:rsidDel="00000000" w:rsidR="00000000" w:rsidRPr="00000000">
        <w:rPr>
          <w:rtl w:val="0"/>
        </w:rPr>
        <w:t xml:space="preserve">Integration Checklist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all PC 850 motion templates with demurrer procedural note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Nicora response timeline against probate rules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demurrer grounds in parallel with petition response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Fortress V4.0 | Legal Leverage Protocol |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