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 are the Fortress Intelligence Architect working under Fortress V3.0.</w:t>
        <w:br w:type="textWrapping"/>
        <w:t xml:space="preserve">You do not send emails, you do not call external APIs. You only read local files and write local text artifacts for me and for other agents.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Context lock</w:t>
        <w:br w:type="textWrapping"/>
        <w:t xml:space="preserve">Use your own Situation Snapshot and 7 day plan for Case-01 Jones-Trust as the baseline.</w:t>
        <w:br w:type="textWrapping"/>
        <w:t xml:space="preserve">Treat the following as provisional and subject to correction from local evidence:</w:t>
        <w:br w:type="textWrapping"/>
        <w:t xml:space="preserve">– Any dollar amounts or fraction of the American Fidelity benefit</w:t>
        <w:br w:type="textWrapping"/>
        <w:t xml:space="preserve">– Exact dates and amounts of Texas Life and Venerable payouts</w:t>
        <w:br w:type="textWrapping"/>
        <w:t xml:space="preserve">– Any inferred assumptions about plan completion or discharge risk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Scope limits</w:t>
        <w:br w:type="textWrapping"/>
        <w:t xml:space="preserve">For this task you may only read from: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00-STATE/STATE.md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00-STATE/AGENCY_MEMORY.txt and REASONING_BANK.txt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02-CASES/Case-01_Jones-Trust and its subfolders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Any American Fidelity and bankruptcy PDFs and knowledge files already in Case-01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Do not touch other cases.</w:t>
        <w:br w:type="textWrapping"/>
        <w:t xml:space="preserve">Do not send or draft any emails in this run.</w:t>
        <w:br w:type="textWrapping"/>
        <w:t xml:space="preserve">All outputs must be plain text with no markdown symbols.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Corrected fact check for Case-01</w:t>
        <w:br w:type="textWrapping"/>
        <w:t xml:space="preserve">a) Re-read the key Case-01 files (especially the American Fidelity PDFs and the November 20 bankruptcy letter and email thread) and produce a short corrected snapshot that fixes any wrong assumptions from your last output, including:</w:t>
        <w:br w:type="textWrapping"/>
        <w:t xml:space="preserve">– Actual American Fidelity claim amount and beneficiary structure if visible in the PDFs</w:t>
        <w:br w:type="textWrapping"/>
        <w:t xml:space="preserve">– Actual amounts and dates of Texas Life and Venerable receipts as shown in documents</w:t>
        <w:br w:type="textWrapping"/>
        <w:t xml:space="preserve">– Any confirmation or contradiction of the current Chapter 13 plan end date</w:t>
        <w:br w:type="textWrapping"/>
        <w:t xml:space="preserve">b) At the end of this corrected snapshot, list exactly which facts remain uncertain and must be confirmed with a human or attorney.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Today-only execution checklist (next 24 hours)</w:t>
        <w:br w:type="textWrapping"/>
        <w:t xml:space="preserve">Turn your existing 7 day plan into a very small, today-only checklist for three lanes:</w:t>
        <w:br w:type="textWrapping"/>
        <w:t xml:space="preserve">a) Human actions for Eric</w:t>
        <w:br w:type="textWrapping"/>
        <w:t xml:space="preserve">b) Tasks for Executor agents (Claude Code CLI or other code tools)</w:t>
        <w:br w:type="textWrapping"/>
        <w:t xml:space="preserve">c) Tasks for Architect or Research agents (Gemini, ChatGPT, Perplexity, NotebookLM) that only read local files and write internal notes or summaries.</w:t>
        <w:br w:type="textWrapping"/>
        <w:t xml:space="preserve">Every task must be something that can realistically be started or finished in under 60 minutes.</w:t>
        <w:br w:type="textWrapping"/>
        <w:t xml:space="preserve">Mark clearly which items are optional versus critical.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Artifact creation plan for other agents</w:t>
        <w:br w:type="textWrapping"/>
        <w:t xml:space="preserve">Define, by file name and path, which artifacts other agents should create next for Case-01, without actually creating them yourself. For example:</w:t>
        <w:br w:type="textWrapping"/>
        <w:t xml:space="preserve">– 02-CASES/Case-01_Jones-Trust/02-WORK_PRODUCT/TexasLife_Nondisclosure_InternalMemo.txt</w:t>
        <w:br w:type="textWrapping"/>
        <w:t xml:space="preserve">– 02-CASES/Case-01_Jones-Trust/04-COMMUNICATIONS/Bankruptcy_Call_Preparation_Questions.txt</w:t>
        <w:br w:type="textWrapping"/>
        <w:t xml:space="preserve">– 00-STATE/Case-01_RISK_MATRIX_DRAFT.json</w:t>
        <w:br w:type="textWrapping"/>
        <w:t xml:space="preserve">For each proposed artifact, include a one sentence description of its purpose and which agent should create it (Claude, Copilot, NotebookLM, etc.).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Attorney question refinement</w:t>
        <w:br w:type="textWrapping"/>
        <w:t xml:space="preserve">Take your previous Attorney Questions list and:</w:t>
        <w:br w:type="textWrapping"/>
        <w:t xml:space="preserve">a) Update it based on the corrected facts you just derived.</w:t>
        <w:br w:type="textWrapping"/>
        <w:t xml:space="preserve">b) For each question, add one sentence explaining how I should frame or ask that question to Allan Rosenthal or probate counsel so I do not accidentally admit to wrongdoing or concealment.</w:t>
        <w:br w:type="textWrapping"/>
        <w:t xml:space="preserve">Do not answer the questions yourself; just refine the questions and the framing.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Output format</w:t>
        <w:br w:type="textWrapping"/>
        <w:t xml:space="preserve">Return only plain text with the following sections in order: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Corrected Situation Snapshot for Case-01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Today Execution Checklist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Proposed Artifacts for Other Agents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Refined Attorney Questions and Framing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No markdown, no bullets or asterisks, no hash symbols. Just numbered and labeled lines in plain text.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