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evidence dossier, Sayegh V Sayegh case focus, divorce, domestic abuse, financial control, child custody, plaintiff, Nuha Sayegh. Adversary Fahd, Freddie Sayegh, disbarred attorney, lead advocate Eric Jones, first executive summary, provable public record, one adversary fad. Freddie Sayegh Siyon bar 230,297th is officially listed by the State Bar of California as not eligible to practice law in disciplinary history. His record includes multiple disciplinary actions with actual suspensions, most recently on February 14, 2025, case, 24 Oh, 30,088 mate, a supreme court order, a California Supreme Court minute order, 287,880 January, 15, 2025, imposes a minimum three year actual suspension As part of a four year probation, identity corroboration public news sources, for example, Los Angeles Times, is link the identity of Freddie Saye of Altadena to the official faud Sayegh bar record through verifiable details, including his residence and family connections. Zweite adversary profile tactics and vulnerabilities and primary tactic, gaslighting and undermining mental health adversary repeatedly dismisses victims feelings and suggests psychiatric help to undermine her credibility and sanity. Quote, he fucked up, and I start crying freaking out. He goes, Wow, you know, it's you need help. And I really, I believed him. And then that's gaslighting. And primary tactic, coercive control, custody threats. Adversary uses the children as leverage, threatening illegal war to intimidate and control the victim. Quote, if we fight, I will win. I'm letting you know I'm not playing with you no more. I'm not fucking around with you in primary tactic financial control and manipulation. Adversary uses financial dependency and the prospect of litigation costs as a tool of intimidation. Quote, well, then you, then you sue me. I mean, that's what it is, vulnerability, professional status, his status as a disbarred attorney with a documented history of professional misconduct is a significant vulnerability that can be used to challenge his credibility and character in civil proceedings. Third, evidence log direct testimony, curated from transcripts a emotional and psychological abuse, an instance forcing medication to control and numb the victim. Quote, every day he goes to work, he drops off a handful of pills on it, on the table with $100 bill. He goes, Okay, well, I'm leaving you know, as long as he's numbing me with pills. Instance, emotional neglect and failure to support children's development. Quote, ask him how many times he played catch with his son. Ask him never Tom has been asking him to teach him how to ride a bike for two years. Three years now he still doesn't know how to ride a bike. B family manipulation and abuse instance, victim forced into an arranged marriage at age 17. Quote, she was forced into an arranged marriage at 17. When they forced me into that marriage, they took it away. I no longer skipped and I became dead inside an instance, victim's mother allegedly supplied drugs to the adversary, enabling his abusive behavior. Quote, her mom sells her ex husband drugs, and he got there on drugs the second night of their marriage. She begs her Mom, please stop selling Freddie drugs, because he's a monster when he's on them. C, legally significant admissions by adversary man, admission of coercive intent, threatening a war with the kids to force compliance. Quote, you could take it any way you want. It could be war. I'm talking about war with the kids. Timestamp 07, 13, omission of bad faith negotiation, attempting to control the negotiation process by excluding the victim's mother. Quote, me, you your dad. My dad. Negotiate, not your mom. No, we're not going to tell her nothing. No, right? We negotiate it. Timestamp 009, 35 vierte, actionable next steps and strategic focus one, corroborate allegations, gather third party witness statements, friends, teachers, therapists and medical pharmacy records to support the testimony in the transcripts. Two, prepare for credibility attacks. Proactively develop a narrative supported by evidence of recovery and stability to counter any attempts by the adversary to use the victim's past against her. Three, engage legal counsel. Use this dossier to brief potential. Law firms, the primary objective is to find counsel who understands coercive control and is prepared to leverage the adversary's professional history. Four financial forensics, if financial misconduct is a component, engage a forensic accountant to trace assets and document financial control patterns.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