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qehkk37dc4pv" w:id="0"/>
    <w:bookmarkEnd w:id="0"/>
    <w:bookmarkStart w:colFirst="0" w:colLast="0" w:name="wn3dugx3ycvo" w:id="1"/>
    <w:bookmarkEnd w:id="1"/>
    <w:bookmarkStart w:colFirst="0" w:colLast="0" w:name="k45dgxgukcaa" w:id="2"/>
    <w:bookmarkEnd w:id="2"/>
    <w:p w:rsidR="00000000" w:rsidDel="00000000" w:rsidP="00000000" w:rsidRDefault="00000000" w:rsidRPr="00000000" w14:paraId="00000001">
      <w:pPr>
        <w:pStyle w:val="Heading2"/>
        <w:rPr/>
      </w:pPr>
      <w:r w:rsidDel="00000000" w:rsidR="00000000" w:rsidRPr="00000000">
        <w:rPr>
          <w:rtl w:val="0"/>
        </w:rPr>
        <w:t xml:space="preserve">Context Bridge Memorandum: Anuar Track Termination &amp; Compass Outlaw Acceleration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Timestamp: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November 20, 2025, 23:34 PST</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Agent Identity: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PFV Coordination AI (LLM)</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Function: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Context Bridge &amp; Execution Strategy Documentation</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PFV Status: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V14.1 (Compass Outlaw – Active)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compliance with PFV V14.1 protocol, this memorandum documents the closure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Track 1</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(Attorney Anuar Ramirez’s involvement) and the activation of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Option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Compass Outlaw system). This context bridge ensures transparency in our pivot, preserving the learning lineage and accountability of the process.</w:t>
      </w:r>
    </w:p>
    <w:bookmarkStart w:colFirst="0" w:colLast="0" w:name="hquhqo8nyxd9" w:id="3"/>
    <w:bookmarkEnd w:id="3"/>
    <w:p w:rsidR="00000000" w:rsidDel="00000000" w:rsidP="00000000" w:rsidRDefault="00000000" w:rsidRPr="00000000" w14:paraId="00000004">
      <w:pPr>
        <w:pStyle w:val="Heading3"/>
        <w:rPr/>
      </w:pPr>
      <w:r w:rsidDel="00000000" w:rsidR="00000000" w:rsidRPr="00000000">
        <w:rPr>
          <w:rtl w:val="0"/>
        </w:rPr>
        <w:t xml:space="preserve">Termination of Track 1: Attorney Anuar Ramirez</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collaboration with Attorney Anuar Ramirez (Track 1) has been terminated due to several critical misalignments and constraints. Key factors prompting this termination include: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Location Mismatch: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attorney’s location/logistics did not align with the project’s Los Angeles jurisdiction needs, impeding efficient coordination for court-specific formatting and filing tasks.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Cost Constraint Breach: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Engaging Attorney Ramirez fully would have exceeded the budget (targeting under \$2,000). His required fees or resource needs could not be met within the flat \$1,000 available for this task, breaking the cost constraints.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Specialization Misalignment: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task at hand is a narrow formatting and e-filing job under strict California Rules of Court (CRC 2.111). This limited-scope, technical formatting work fell outside the core specialization of Mr. Ramirez (whose expertise is broader probate litigation), leading to less-than-ideal alignment with his practice strengths.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Final Pivot Trigger – “What’s your Plan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his final communication, Attorney Ramirez posed the question,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“What’s your Plan 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response signaled his withdrawal or inability to proceed under the given conditions. It served as the definitive catalyst for an irreversible pivot away from Track 1 and toward a new solution path.</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Outcome: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 Track 1 no longer viable, the project immediately transitioned to an alternative strategy. The pivot is enacted under PFV V14.1, meaning the previous plan version is retired and a new execution mandate is in effect.</w:t>
      </w:r>
    </w:p>
    <w:bookmarkStart w:colFirst="0" w:colLast="0" w:name="6lw5ynkh9h" w:id="4"/>
    <w:bookmarkEnd w:id="4"/>
    <w:p w:rsidR="00000000" w:rsidDel="00000000" w:rsidP="00000000" w:rsidRDefault="00000000" w:rsidRPr="00000000" w14:paraId="0000000B">
      <w:pPr>
        <w:pStyle w:val="Heading3"/>
        <w:rPr/>
      </w:pPr>
      <w:r w:rsidDel="00000000" w:rsidR="00000000" w:rsidRPr="00000000">
        <w:rPr>
          <w:rtl w:val="0"/>
        </w:rPr>
        <w:t xml:space="preserve">PFV V12 Formatting Assessment – Superseded by Compass Outlaw (Deprecated)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(Note: The following summarizes prior options from PFV V12, which are now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deprecated. They are recorded here for institutional memory only and will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be executed under the new plan.)</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 PFV V12 (the previous planning iteration), we evaluated three formatting approaches to address Anuar’s requirements: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1. “The Craftsman” (Hybrid Manual):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Anuar’s Word template and meticulous manual reformatting. (Previously recommended for showing maximum respect/learning.)</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 “The AI Visionary” (Vision API Automation):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an AI with visual capabilities to generate a template-matched document automatically.</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3. “The Straight Shot” (PDF-to-Word Conversion):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Using Adobe Acrobat to convert PDFs to Word, then copying into the template with cleanup.</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While these approaches were insightful and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Approach 1: The Craftsman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was initially chosen as optimal, all three have been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superseded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by the Compass Outlaw strategy. The decision to pivot renders these options obsolete for execution. Retaining this assessment in the records highlights the learning progression, but going forward the team will not pursue these approaches under PFV V14.1.</w:t>
      </w:r>
    </w:p>
    <w:bookmarkStart w:colFirst="0" w:colLast="0" w:name="t519sdy65ema" w:id="5"/>
    <w:bookmarkEnd w:id="5"/>
    <w:p w:rsidR="00000000" w:rsidDel="00000000" w:rsidP="00000000" w:rsidRDefault="00000000" w:rsidRPr="00000000" w14:paraId="00000012">
      <w:pPr>
        <w:pStyle w:val="Heading3"/>
        <w:rPr/>
      </w:pPr>
      <w:r w:rsidDel="00000000" w:rsidR="00000000" w:rsidRPr="00000000">
        <w:rPr>
          <w:rtl w:val="0"/>
        </w:rPr>
        <w:t xml:space="preserve">Compass Outlaw – New Execution Mandate (Option B)</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Compass Outlaw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codename for the newly adopted execution strategy under PFV V14.1. This plan (Option B) has been authorized as the only viable path to deliver perfectly formatted pleadings within the time and budget constraints. Compass Outlaw combines advanced tooling with AI oversight to ensure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CRC 2.111-compliant formatting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on-time delivery of all documents. Its key components include:</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Grid-Lock Rendering Engine: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custom formatting pipeline that locks in exact layout parameters (including a corrected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24.0 pt line height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28-line pleading paper). This engine ensures each page strictly conforms to court layout rules—margins, line numbers, and spacing are algorithmically fixed to prevent drift or misalignment.</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Visual Verifier Agent (Gemini 1.5 Pro):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 AI-driven visual QA module that performs pixel-level comparison between our formatted output and the standard/template expected by the court (or Anuar’s reference sample). Gemini 1.5 Pro flags any deviation in styling, spacing, or alignment, serving as an automated “second set of eyes.” This mitigates the "black box" risk of automation by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catching subtle formatting errors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a human attorney (like Anuar) would notice, thereby safeguarding quality.</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ReasoningBank Feedback Loop: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 continuous improvement system that records formatting requirements and any issues detected, feeding them back into the process in real time. Each correction or insight (e.g. a rule from CRC 2.111 or a fix from the Visual Verifier) is logged in the ReasoningBank. This creates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Architectural Immunity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once a formatting error is identified and corrected, the entire system adapts to prevent that class of error across all documents. The result is a robust, learning-driven workflow that becomes more precise with each iteration.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Together, these components form an integrated solution that replaces manual trial-and-error with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AI-augmented, error-correcting production line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Under Compass Outlaw, we expect to produce seven flawlessly formatted PDF pleadings ready for filing, hitting the quality benchmark of “Perfect. Filing now.” that Anuar demanded – but within a fraction of the time a purely manual approach would require.</w:t>
      </w:r>
    </w:p>
    <w:bookmarkStart w:colFirst="0" w:colLast="0" w:name="8zovx06dun76" w:id="6"/>
    <w:bookmarkEnd w:id="6"/>
    <w:p w:rsidR="00000000" w:rsidDel="00000000" w:rsidP="00000000" w:rsidRDefault="00000000" w:rsidRPr="00000000" w14:paraId="00000018">
      <w:pPr>
        <w:pStyle w:val="Heading3"/>
        <w:rPr/>
      </w:pPr>
      <w:r w:rsidDel="00000000" w:rsidR="00000000" w:rsidRPr="00000000">
        <w:rPr>
          <w:rtl w:val="0"/>
        </w:rPr>
        <w:t xml:space="preserve">P0 Foreclosure Deadline – December 3, 2025 (Irreversible Risk)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urgency of this pivot to Compass Outlaw is underscored by the looming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foreclosure deadline of December 3,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date represents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P0 risk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i.e. the highest-priority deadline beyond which the outcome (loss of the property through foreclosure) becomes irreversible. All required probate filings must be completed, formatted correctly, and accepted by the court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before this date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halt the foreclosure. Given standard processing times,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November 25,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effective cutoff for e-filing the documents via One Legal to ensure they are on record in time.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Failure to meet the formatting and filing requirements by this timeline will result in an outcome that cannot be remedied post-foreclosure. Therefore, the Compass Outlaw system is not just a preferred solution—it is the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only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feasible path to avert disaster under these time constraints. This approach maximizes our chance to beat the deadline by leveraging speed (through automation) without sacrificing accuracy (through rigorous verification and feedback loops).</w:t>
      </w:r>
    </w:p>
    <w:bookmarkStart w:colFirst="0" w:colLast="0" w:name="8ox3cd6ycrx1" w:id="7"/>
    <w:bookmarkEnd w:id="7"/>
    <w:p w:rsidR="00000000" w:rsidDel="00000000" w:rsidP="00000000" w:rsidRDefault="00000000" w:rsidRPr="00000000" w14:paraId="0000001B">
      <w:pPr>
        <w:pStyle w:val="Heading3"/>
        <w:rPr/>
      </w:pPr>
      <w:r w:rsidDel="00000000" w:rsidR="00000000" w:rsidRPr="00000000">
        <w:rPr>
          <w:rtl w:val="0"/>
        </w:rPr>
        <w:t xml:space="preserve">AI Competition Prompt (Template D1) – Attorney Recruitment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part of the Compass Outlaw execution, we are initiating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AI-assisted recruitment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a replacement Los Angeles probate attorney who can perform the final filing steps under a limited scope engagement. Below is the prepared prompt (Template D1) intended for use with AI tools or platforms to generate a targeted job listing or outreach message. The goal is to attract a qualified attorney willing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format per CRC 2.111 and e-file 7 PDFs via One Legal by 11/25/2025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for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flat \$1,000 fee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(within a hard budget cap of \$2,000). This prompt emphasizes the urgent timeline, the strict formatting task, and the one-time flat-fee nature of the job:</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[SYSTEM MESSAGE for AI]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You are an expert hiring coordinator. Draft a concise and compelling job post to recruit a **California-licensed probate attorney in Los Angeles** for an **urgent, one-time task**:</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**Scope of Work:** Finalize formatting of 7 legal documents to **meet California Rule of Court 2.111 requirements** (proper pleading paper format with 28-line numbering, margins, etc.) and **e-file** them through One Legal. No court appearances or drafting of content required – content is ready, just formatting and electronic filing.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**Deadline:** All 7 documents must be formatted correctly and successfully e-filed by **November 25, 2025** (to meet a court deadline before a December 3 foreclosure).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**Requirements:** Must be a California-barred attorney with knowledge of court formatting rules (preferably experienced in Los Angeles County probate filings). Familiarity with One Legal e-filing is required.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**Compensation:** **Flat fee of \$1,000** for the entire task (budget is firm, under \$2,000). Payment upon successful filing of all documents.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**How to Apply/Contact:** [Provide instructions for interested attorneys to respond quickly].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Highlight the **urgent deadline** and the **limited scope** (this is a formatting/filing assist, not full case representation). Emphasize that this is ideal for someone looking for a quick project and extra income. The post should appeal to professionalism (ensuring compliance with court rules) while making it clear that the heavy lifting (content) is done – we just need an attorney to polish and file the documents.</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prompt will be used in an AI-assisted outreach campaign immediately. By clearly delineating the task and compensation, we aim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secure a suitable LA probate attorney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within days. That attorney’s sole responsibility will be to review our Compass Outlaw–generated PDFs for any final compliance touches and then perform the official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e-filing by November 25, 2025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This limited engagement ensures we have the necessary legal oversight and filing credentials to complement the technical precision of Compass Outlaw, thereby closing the loop on our path to meeting the critical deadline.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ku1u8btf80b" w:id="8"/>
    <w:bookmarkEnd w:id="8"/>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