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23:22:41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LA Court &lt;lacourt@firstlegal.com&gt;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LASC Probate (§850 + Ex Parte TRO) – Concierge eFiling Request – Eric B. Jones (Pro Per)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Eric, do you have an account with first legal?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Felix Hernandez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[First Legal Court And Process]&lt;https://www.firstlegal.com/court-and-process/&gt;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[First Legal Facebook]&lt;https://www.facebook.com/FirstLegalNetwork&gt;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[First Legal LinkedIn]&lt;https://www.linkedin.com/company/first-legal-support-services/&gt;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Court​​​​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L.A. Court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lacourt@firstlegal.com&lt;mailto:lacourt@firstlegal.com&gt;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Legal | Court &amp; Process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Office: 213.250.1111, Ext. 1120&lt;tel:213.250.1111,%20Ext.%201120&gt;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www.FirstLegal.com&lt;https://www.firstlegal.com/&gt;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Sent: Thursday, October 30, 2025 4:08 PM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eFiling &lt;efiling@firstlegal.com&gt;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LA Court &lt;lacourt@firstlegal.com&gt;; Daniel Torres &lt;dtorres@firstlegal.com&gt;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LASC Probate (§850 + Ex Parte TRO) – Concierge eFiling Request – Eric B. Jones (Pro Per)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don't often get email from eric@recovery-compass.org&lt;mailto:eric@recovery-compass.org&gt;. Learn why this is important&lt;https://aka.ms/LearnAboutSenderIdentification&gt;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Concierge Team,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 self‑represented litigant seeking concierge eFiling today in Los Angeles Superior Court – Probate (Stanley Mosk) for a Probate Code §850 petition with an ex parte TRO.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(in a single ZIP) you will find eight PDFs: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  Petition (§850) – lead document to open the case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  Ex Parte Application for TRO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  Memorandum of Points &amp; Authorities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  Declaration of Trustee (with Exhibits A–D – bookmarked)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  Declaration re Notice (CRC 3.1204)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  Proposed TRO/OSC (stand‑alone order)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  PRO‑010 Probate Case Cover Sheet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  One‑page executive summary with party contact details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documents are 8.5×11”, OCR’d, and meet CRC 2.111 format requirements. Bookmarks are present on each exhibit.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requests: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Two-envelope approach: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 Envelope 1: File the §850 Petition to open the case and obtain a case number.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   Envelope 2: Immediately file the ex parte application and supporting documents into the new case.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Formatting compliance: Please confirm page size, OCR status, exhibit bookmarks, and correct document-type mapping per LASC Probate eFiling protocols.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Fees: Please advance all court fees on my behalf and invoice me.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Timing: Aim for same-day submission before LASC’s ex parte cutoff; if that’s not possible, please file at the earliest available time.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Notifications: Email me confirmation of each submission and any clerk comments or rejections.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caption: In the Matter of the Judy Brakebill Jones 2008 Revocable Trust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Petitioner: Eric B. Jones (Successor Trustee) – (626) 348‑3019 | eric@recovery-compass.org&lt;mailto:eric@recovery-compass.org&gt; | 5634 Noel Dr., Temple City, CA 91780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Respondents: [Names and contact details in attached summary]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Urgency: There is an active risk of dissipation of trust funds ($10,650) and destruction of digital evidence (an iPhone).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 receipt of this package and provide your estimated time of filing. I’m available at (626) 348‑3019 for any questions.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assistance,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Jones, MSW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