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21:07:22 -0800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PC 850 Evidence Package - Judy Jones Trust Asset Recovery (Filing Deadline: November 26, 2025)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Attorney Ramirez,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executing the Attorney-Client Agreement on November 22, 2025, for professional representation in the PC 850 Heggstad Petition (Judy Jones Trust asset recovery). I am writing to provide the complete evidentiary package for your review and filing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I. EVIDENCE PACKAGE CONTENTS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includes 8 attachments totaling 1.54MB: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**A. PC 850 Court Filings (7 Documents - CRC 2.111 Compliant)**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01_Ex_Parte_Application.pdf (3KB) - Ex parte application for Temporary Restraining Order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02_Declaration_with_Exhibits.pdf (731KB) - Primary declaration with all Trust documents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03a_Declaration_for_Good_Cause_Exception_to_Notice.pdf (59KB) - Good cause declaration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04_MPA.pdf (56KB) - Memorandum of Points and Authorities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05_Proposed_TRO_OSC.pdf (46KB) - Proposed Temporary Restraining Order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06_Petition_850.pdf (107KB) - PC 850 Heggstad Petition (primary filing)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07_Probate_Case_Cover_Sheet_Final.pdf (484KB) - LA Superior Court Probate Cover Sheet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**B. TIER 1 Dispositive Evidence**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Nicora Law Letter June 27 2025.pdf (37KB)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Strategic Significance: Dispositive admission from Nicora Law that they facilitated unauthorized sale of Trust property (Riverside property sold for $10,650 on June 24, 2025). Establishes bad faith knowledge, PC § 859 double damages exposure ($21,300 minimum), and foundation for TRO financial pressure strategy.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II. FILING TIMELINE REQUEST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Filing Date: November 26,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Rationale: 3-day buffer maintains execution momentum while allowing adequate document review time.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Context: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21, 2025: Foreclosure deadline mitigated via 3-month trial modification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22, 2025: Attorney-Client Agreement executed ($3,500 retainer authorized)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pivot: Professional representation secured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 Please confirm your ability to meet the November 26 target date, or advise if additional preparation time is required.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III. DOCUMENT REVIEW NOTES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7 court filings were generated with CRC 2.111 compliance verification: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Pleading Paper format (CRC 2.108 required)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24.0pt line height (corrected from default)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Line numbers 1-28 visible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Proper margins and formatting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As attorney of record, you have final authority over any content modifications, strategic adjustments, or formatting preferences before filing.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IV. NEXT STEPS COORDINATION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Receipt Acknowledgment: Please confirm receipt of all 8 attachments within 24 hours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Document Review: Please advise if any corrections or modifications are needed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Filing Status Updates: Once filed, please provide case number, ex parte hearing date, and any adversary responses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Strategic Communication: I remain available for evidence clarification or additional documentation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V. CONTACT INFORMATION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Contact: Eric Jones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Availability: Immediate response capability for filing-related inquiries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professional representation on this matter. The transition from self-filing to credentialed legal expertise represents a major strategic advancement for the PC 850 asset recovery objective.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look forward to your confirmation of receipt and filing timeline.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Client, Judy Jones Trust PC 850 Matter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