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plain language review of the Judy break Bill Jones, 2008 irrevocable trust and its first amendment based on the questions asked one hence asset protection. The trust documents describe how assets, including a specific property, will be distributed after the grantor's death, and include a no contest clause. However, they do not specify immediate protective steps like asset freeze letters or digital asset preservation, adding clear asset protection procedures would help prevent asset loss or misuse two trustee authority. The documents clearly identify Judy Lee breakbill Jones as the grantor and trustee, and name Eric Brakebill Jones as successor trustee. Their authority to manage and distribute trust assets is defined by the trust's provisions. Three criminal referral. There are no provisions addressing the reporting of financial wrongdoing to improve protection the trust could require the trustee to report suspected financial exploitation and explain what evidence to collect and preserve, completeness. The documents outline the trust its amendment governing law California trustees and a no contest clause they lack language on asset protection actions and specific communications with beneficiaries or institutions. Additional detail and legal review are recommended to check for any missing parts or unclear areas. Five put improvements to strengthen the trust, add explicit instructions for asset protection and preservation include requirements to document and report suspected financial exploitation. Require clear records of all trustee actions and communications, have a California trust attorney review the Trust for any remaining vulnerabilities. In summary, while the core trust structure is clear, further steps should be taken to enhance asset protection and legal robustness, consulting a trust law professional in California is highly recommended.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