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verbatim content from the Judy breakbill Jones irrevocable trust signed in 2008 dot txt, representing the main provisions of the original trust and related successor trustee details in a Judy breakbill Jones 2008 irrevocable trust created by Judy Lee breakbill Jones on March 18, 2008 title to assets held as follows, Judy Lee breakbill Jones, Trustee of the Judy breakbill Jones 2008 revocable trust. This revocable living trust agreement dated March 18, 2008 is created by Judy Lee breakbill Jones, also known as Judy breakbill Jones or Judy breakbill Jones Lasher or Judy Lee Jones, the grantor or beneficiary or truster of Monterey County, California, and Judy Lee breakbill Jones, also known as Judy breakbill Jones or Judy breakbill Jones Lasher, the trustee of Monterey County California. At the time of creation of this agreement, the grantor was married to Lawrence Elliot Lasher, the revocable trust established under this agreement shall be known as the Judy breakbill Jones 2008 revocable trust. This trust shall be administered under the laws of the state of California. The purpose of this agreement is to establish a trust to receive and manage assets for the benefit of the grantor during their lifetime, and to further manage and distribute the assets of the trust upon the death of the grantor. Trustee powers and provisions. The trustee is empowered to employ, discharge and compensate from trust accounts, lawyers, investment and tax advisors, agents and others to aid in the management, administration and protection of the trust estates. The trustee has the authority to revoke, modify, terminate, assign new beneficiaries and create new trusts, trustee and successor trustees, grantor as trustee, if at any time the grantor is acting as trustee, such grantor trustee may appoint a successor trustee to become effective immediately or upon any stated contingency by making such designation in writing, successor trustee, if The trustee cannot serve due to disability, death or other reason. Eric brickbill Jones of San Francisco, California is designated as the successor trustee to serve without bond if unable to serve for any reason. Heidi Jones Blanchard of Santa Cruz, California is designated as the alternate successor trustee to serve without bond if she is unable to serve. Larry Lasher of Mountain View California is designated as further alternate without bond. If none are able or willing. The court shall appoint an appropriate third party trustee, pursuant to California law when accounting and reporting, the trustee shall keep all accounts and records of the trust and shall annually or more often, render to the truster or the surviving truster and successor beneficiaries who are currently entitled to receive income statement, showing all receipts, disbursements and investment transactions. If a successor beneficiary has a disability, the trustee shall provide accounting to a guardian or conservator. If any successor trustees, other than those nominated in this trust shall serve with bond, accept that no bond is required of any qualified successor corporate trustee. Then write to direct investments at any time that the Trust has investments, and provided that the grantor does not have a disability, the grantor may direct any trustee to purchase, sell or retain any trust investment in revocation or amendment. The grantor may revoke or amend this agreement at any time by delivering to the trustee an appropriate written revocation or amendment signed by the necessary grantor. If the trustee consents, the powers of revocation but not the power of amendment may be exercised by a duly appointed and acting attorney, in fact, for the grantor for the purpose of revocable trust. If the trust is revoked, the trustee shall distribute the trust assets to the grantor in the same manner and amount as contributed. What governing law this agreement shall be construed in accordance with the laws of the State of California perpetuity clause. The trust created by this agreement shall terminate no later than 21 years after the death of the last surviving beneficiary who is living at the time of the death of the surviving grantor. Severability, if any portion of this agreement is held invalid or unenforceable, the remaining provisions shall continue in effect. If limitation makes a provision valid, it shall be deemed so limited and miscellaneous provisions it paragraph titles are for reference only. All words used in any gender shall extend to and include all genders, and any singular words shall include the plural and vice versa. Torsi ability. A fiduciary, no fiduciary who is a natural person shall, in the absence of fraudulent conduct or bad faith, be personally liable to any beneficiary. The trust estate shall indemnify such persons, except in cases of fraud or bad faith, no successor trustee is obliged to inquire into or be accountable for previous trust administration to be children grantors, three adult living children are one Gretchen, Angela Jones, Diab, February, 22 1975 two. Heidi Jones, Blanchard, diob, July 2619 77 three. Eric Brakebill Jones, dobb, August 21 1979 all references to the grantor's child or children include the above and any subsequently born or adopted children, as defined by probate code one, oh contest clause, if any beneficiary or any person not named in the trust contest this trust or any of its provisions in a legal proceeding designed to thwart the grantors wishes. Any share or interest in the estate or this trust given to that party is revoked and shall be disposed as if that party had predeceased the grantor without issue or heirs at law, ending to reliance on certified copies, anyone may rely upon a certified copy of the trust agreement or any part thereof, certified by the settlor trustee or their legal counsel, or on any statement of fact concerning this trust certified by someone serving as trustee, including any certification of trust made pursuant to probate code sex execution of trust agreement, I hereby certify that I have read the foregoing declaration of trust and that it correctly states the terms and conditions under which the trust estate is to be held, managed and disposed of by the trustees. I approve the declaration of trust in all particulars, and the trustees have executed and accepted this trust at our request. Judy L Jones, Judy Lee breakbill Jones, also known as Judy breakbill Jones, also known as Judy breakbill Jones, Lasher, also known as Judy Lee Jones, grantor settler, truster and Trustee a notary acknowledgement, State of California, County of Monterey, John McNally, notary public, acknowledgement, dated April 4, 2008 schedule a trust assets, a non exclusive list of assets for convenience, including real property at 742 Berta Canyon Road, Salinas, ca, 9003 1907, A, P, n1, 25, 1330390000, with instructions that successor trustees should perform a full Asset Search and may update this list at any time. Note the content above directly reflects the attached document's wording. The full text of the First Amendment was not included in the provided text. Content only references to the original trust structure and successor trustee provisions are present for the First Amendment verbatim, upload or provide its text explicitly if further detail is needed.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