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FORTRESS V4.0 - PROBATE STRATEGY LOCK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JONES TRUST (CASE-01)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FINDING: APPELLATE RULING]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demurrer may be filed any time at or before the initial hearing in a probate case."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ruling permits the maximum "Strategic Silence" period against Nicora Law. We are not required to file immediately. We hold the Demurrer as a "Pocket Veto" until the eve of the hearing.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BOILERPLATE FOR DEMURRER]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IS HEREBY GIVEN that Respondent ERIC JONES, appearing In Propria Persona, objects to the Petition on the grounds that it fails to state facts sufficient to constitute a cause of action.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Pursuant to recent appellate authority controlling in this jurisdiction, this Demurrer is timely filed 'at or before the initial hearing.' Respondent asserts this right to verify the procedural sufficiency of the Petitioner's claims before subjecting the Estate to unnecessary litigation costs.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Petition is defective on its face for the following reasons: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Failure to allege facts supporting [Specific Claim].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[Reason 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[Reason 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WHEREFORE, Respondent prays that this Demurrer be sustained without leave to amend and that the Petition be dismissed with prejudice."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