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it does seem scattered right now, for sure, but he's gonna find the brilliance in this, I think, in that I'm not begging for money. I'm not spending my time on getting donations and funding, I'm actually self funded by these relationships I have with like Whittier First Day and Donna Gallup. And I'm getting paid. I'm actually getting paid to help them with data, but part of my negotiating strategy is that I really am getting paid in the way that they're accelerating my pathway to becoming an evidence based practice, because they are established. They have clients. They have the whole setup, the clinical setup, the research and so I'm spending my time with that, and it is funding me, but it's actually spending my time accelerating my pathway to become an evidence based practice and reimbursement from Medi Cal and Medicaid and insurance, and there's actually no other way to accelerate it faster than what I'm doing. So not only did I find the fastest way to to be self funded, like what Chris Mar really wants, but that that fastest way to accelerate towards that evidence based practice top of the top of the hilltop, just so happens to be a gold mine for funding too, and data and understanding what the lay of the land and and networking and research you know, researchers and people that can validate, uh, everything that Recovery Compass is all about. So it's actually, it's the, it's the biggest Seismic Crystal Lava force multiplication move ever, you know, and that's why Devansh. Devansh said in that transcript, in the call, the guy that this guy is, is one of the top 15 tech influencers in the world. He said wow you're in a yeah, you're in a good place, you're in a youth position yourself really well. So, this isn't just me blowing smoke, you know, because I know founders the founders of companies. They all think they're brilliant, but this has been validated by many people. So we. got to play that angle, but we got to clean it 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