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an analysis of the efficacy, completeness and legal strength of your tactical defense and protective strategy regarding the Judy break Bill Jones 2008 irrevocable trust and its first amendment based on the provided documents. One immediate actions taken for asset protection, the provided documents outline the structure of the trust and the distribution of assets upon the grantor's death. Specifically, the property at 17,742 Berta Canyon Road, Salina ca 93,907 is to be distributed outright, in equal and equitable shares to Lawrence Elliot Lasher, Eric Brakebill Jones, Heidi merican Jones, Blanchard and Gretchen, Angela Jones upon the grantor's death, the documents do not provide information about the issuance or sufficiency of asset freeze letters or digital asset evidence preservation notices, two preparation and legal adequacy of the criminal referral packet relating to financial exploitation. The provided documents do not contain information regarding the preparation or legal adequacy of a criminal referral packet related to financial exploitation. Three, the effectiveness and clarity of my trust authority assertion as trustee or successor trustee, including communication with beneficiaries and institutions. Judy Lee breakbill Jones is identified as the grantor and Trustee of the Judy breakbill Jones 2008 revocable trust Eric Brigg, Bill Jones is designated as the successor trustee to serve without bond if the trustee cannot serve due to disability, death or other reason. The First Amendment lists Judy Lee Jones as the truster and trustee. The documents outline the distribution of residuary trust assets upon the grantor's death. The provided documents do not contain information about specific communications with beneficiaries or institutions. Four, completeness of the legal posture considering the current trust documents as amended, ensuring they support all actions and defenses against beneficiary interference or exploitation. The original trust was created on March 18, 2008 the First Amendment to the trust was amended on July 13, 2016 the First Amendment modifies Article Six of the original trust, detailing the distribution of residuary trust assets upon the grantor's death. The documents include provisions for successor trustees. The documents include a no contest clause. The governing law for the trust is the state of California, the documents appear to outline the trust's provisions and amendments. However, a comprehensive legal review by an attorney is recommended to ensure they fully support all potential actions and defenses, five, identification of any legal or procedural gaps, vulnerabilities or areas for improvement. The provided documents do not offer specifics about immediate actions taken for asset protection or the preparation of a criminal referral packet. This information would be necessary for a complete analysis the documents outline trust provisions and amendments, but a formal legal review by a qualified professional is advised to identify any potential legal or procedural gaps or vulnerabilities documentation of communication with beneficiaries and institutions regarding the assertion of trust authority would be beneficial. It is recommended that you consult with a qualified legal professional in California who specializes in trust law to ensure your tactical defense and protective strategy is robust, complete and legally sound sources then first amendment to trust, dash sign dash Jones dot pdf in first amendment to trust, sign Jones dot pdf, a Judy breakbill Jones, 2008 irrevocable trust. Dot pdf in first amendment to trust, sign Jones dot pdf in first amendment to trust, sign Jones in first amendment to trust, sign Jones dot pdf.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