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Nexus (SCL Architect)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SCL command institutional accountability matrix create force multiplying documentation for Amity termination case that seismic layer system disruption maps institutional power dynamics across five termination cases 2018, to 2025, validates March 15, safety warnings through Young's hospitalization data identifies CSU standards violations, three point 2.43 point 2.7 with timestamp evidence connects faculty pattern behavior to Title Nine, retaliation presidents, crystal layer structural clarity and organizes factual contradictions between April 16 meeting versus may 12, email untests February positive evaluation metrics against termination claims and highlights procedural violations against field manual requirements and documents institutional response shifts After copying leadership legal lava layer transformative flow and converts documentation into graduation protection strategy, transforms incident data into future student safety protocols and translates procedural violations into replication ready publication and channels evidence matrix into institutional accountability pathways, format requirements and timestamp enabled documentation with color coding by violation category and split screen comparison of document facts versus institutional claims. Enforce multiplication metrics tracking impact across all domains and strategic escalation pathways with decision tree navigation, this template embodies SCL by academic domain secures graduation, plus generates publication material. Legal domain creates evidence record plus institutional accountability pathways. Advocacy domain maps system failures, plus protects future students' professional domain maintains integrity, plus establishes ethical boundaries, one action, exponential impact, document, transform, protect, advance.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