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Re: Judy Brakebill Jones 2008 Revocable Trust - Representation Update</w:t>
        <w:br w:type="textWrapping"/>
        <w:t xml:space="preserve">Auto/AssetAwaiting Reply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Eric B Jones &lt;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1:52 PM (0 minutes ago)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 jnicora, anicora, bcc: Nuha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Dear Ms. Nicora,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am writing to acknowledge receipt of your email regarding the "Petition for Probate" and to confirm the update regarding my representation.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As Mr. Ramirez-Medina indicated, he is no longer representing me in this matter. Effective immediately, I am handling the administration of the Judy Brakebill Jones 2008 Revocable Trust Pro Per. Please direct all future correspondence and filings directly to me at this email address.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Regarding your mention of the Petition for Probate: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Please provide the case number and a file-stamped copy of the Petition immediately, as I have not yet been served.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It remains my primary objective—and the clear intent of the Trust—to administer the estate efficiently and privately, avoiding the unnecessary costs and delays of probate court.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 reject the characterization of "threatening remarks." My focus is solely on a fair and accurate accounting of the assets to ensure all beneficiaries, including Heidi, receive their entitlements under the Trust and Will.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Once I review the Petition you filed, I will provide a substantive response regarding the next steps for administration and distribution.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Regards,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Eric Brakebill Jones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Trustee, Judy Brakebill Jones 2008 Revocable Trust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(626) 348-3019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