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09:56:12 -0700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FINAL FORMAL DEMAND (ESCALATION NOTICE): Two-Week Extension &amp; Compliance with California Civil Code (§1954, §789.3) - 12:00 PM DEADLINE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Chen,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serves as the formal, final demand.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following up on my 9:25 AM email to ensure you receive the required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notice that a written confirmation of a *two-week extension* (through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15, 2025) must be provided by *12:30 PM PT TODAY (September 29,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2025)*.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 negotiation. We have fully briefed Detective Christina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Cordoba, Deputy Sheriff Abigail Nelson, and DCFS Social Worker Tyler Polk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documented housing retaliation and the resulting endangerment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minors due to instability. *They are on standby.*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immediate compliance with *California Law *is required: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Entry Rules:You must adhere to *Civil Code §1954 *(24-hour written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for all entries; no exceptions).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Anti-Lockout Rules: You must adhere to *Civil Code §789 *(no self-help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eviction, lock changes, or utility shutoffs; civil penalties apply).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DV Protections: You must adhere to *CCP §1161.3* and *Civ. Code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§1941.5 *(protections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DV survivors against eviction and the right to a lock change). Failure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comply by 12:30 PM PT will result in the immediate filing of: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*CRD/HUD Complaint (Fair Housing Retaliation: FHA §3617 / Civ. Code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§1942.5) 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*CalDRE Enforcement Complaint (B&amp;P §10176: Dishonest Dealing 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Misrepresentation) 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*LASD Intervention to enforce anti-lockout laws and the executed Safety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Addendum.*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only path to avoid these severe regulatory consequences is to confirm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two-week extension in writing by 12:30 PM 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Advocate for Nuha Sayegh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