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28 Oct 2025 16:44:46 -0700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Strategic Questions About Representation Transition Timeline -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Request for H Bui Law Firm's Input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Dear Ms. Zhou and Ms. Bui,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the retainer agreement dated October 27, 2025. I'm writing 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behalf of my client, Nuha Sayegh, regarding the timing of potential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representation transition. We have several strategic concerns that require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professional input before Ms. Sayegh can make an informed decision.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BACKGROUND: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Ms. Sayegh's case involves three active proceedings in LA County Superior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Court (Pasadena):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Case 25PDFL01441: Dissolution proceeding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Case 25PDRO01260: Domestic violence restraining order (DVRO) dismissed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October 15, 2025 - Ms. Sayegh prevailed as respondent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Case 25PDRO01246: Related DVRO matter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attorney (Kirk A. Kolodji, Esq.) has: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Filed three strategic motions on October 27, 2025: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FC §6344 attorney fees motion ($14,473.64 - requesting opposing party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pay)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2.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Notice of Lis Pendens (family residence protection)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3.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FC §271 sanctions notice (frivolous conduct penalties)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 TIMELINE CONCERNS: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have two pressing deadlines that require your assessment: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IMMEDIATE DEADLINE: November 1, 2025 (Friday - 3 days)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Opposition brief due to opposing party's Motion for Reconsideration (CCP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§1008)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Brief must include newly secured expert medical testimony (two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physicians confirming no cosmetic procedures performed)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This evidence directly rebuts opposing party's primary defense claim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CONTESTED HEARING: November 19, 2025 (22 days)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Combined hearing on: attorney fees (FC §6344), child support, spousal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support, custody/visitation, property possession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Current attorney has invested 65.5 hours, filed all necessary motions,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familiar with Judge Lofton (Dept. L)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QUESTIONS FOR H BUI LAW FIRM: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 1: November 1 Deadline Management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Ms. Sayegh retains your firm immediately (pays retainer this week), can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firm: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Review approximately 50+ case documents within 48 hours?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Prepare and file opposition brief to Motion for Reconsideration by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November 1 deadline?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Coordinate with two medical experts to obtain declarations by November 1?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OR would your firm request a continuance of the November 1 deadline?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 2: November 19 Hearing Preparation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only 22 days until a complex, contested hearing involving five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separate issues: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What is your typical onboarding timeline for a case of this complexity?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Would 22 days provide sufficient time for your firm to prepare at the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level of excellence Ms. Sayegh deserves?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OR would your firm recommend retaining you post-November 19 to ensure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adequate preparation time?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 3: Transition Coordination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transition occurs now: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How would your firm coordinate with current attorney regarding: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FC §6344 motion already filed (Ms. Sayegh's potential $14,473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recovery from opposing party)?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Lis pendens already recorded (family home protection)?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FC §271 sanctions notice already served?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Would these motions need to be re-filed, or can your firm adopt them via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substitution of counsel?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 4: Financial Considerations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attorney has outstanding balance of $10,473.64, BUT has filed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motion for opposing party to pay $14,473.64 under FC §6344(a) (mandatory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 award to prevailing party in DVRO cases).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this motion succeeds (likely, given Ms. Sayegh prevailed and opposing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party has demonstrated ability to pay at $48,000/month income):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Ms. Sayegh's debt would be eliminated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Opposing party would pay the fees directly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Timing question: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If Ms. Sayegh switches attorneys before November 19 hearing, does she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still benefit from current attorney's FC §6344 motion?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OR would substitution of counsel affect the fee recovery?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 5: Strategic Recommendation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the above facts, what is your professional recommendation?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 A: Retain H Bui Law Firm immediately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Pros: CFLS expertise, client's preference for new representation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Cons: November 1 deadline risk, November 19 preparation constraints,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transition complications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 B: Retain H Bui Law Firm post-November 19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Pros: Current attorney completes pending motions, adequate onboarding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time, no deadline pressure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Cons: 22-day delay in representation transition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 C: Hybrid approach (co-counsel, limited scope, etc.)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Your firm's assessment of viability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ADDITIONAL CONTEXT: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Ms. Sayegh's Current Situation: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Income: $0/month (unemployed during dissolution)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Expected relief from November 19 hearing: $7,000-$12,000/month (child +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spousal support)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Financial pressure: Retainer payment of $7,500 represents significant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immediate expense with zero current income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Ms. Sayegh's Priorities: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Securing child and spousal support (November 19 hearing critical)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Protecting $1.1M-$1.5M family home (lis pendens filed)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Recovering attorney fees from opposing party (FC §6344 motion filed)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4.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Ensuring children's welfare (custody/visitation protection)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5.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Excellent legal representation going forward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REQUEST: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respectfully request your firm's professional assessment of the above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questions. Your honest evaluation will help Ms. Sayegh make the best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decision for her case.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Specifically: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Can your firm effectively manage the November 1 deadline if retained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this week?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Is 22 days sufficient preparation time for November 19 hearing?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What is your recommendation regarding optimal transition timing?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are not asking you to decline representation. We are asking for your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professional judgment on timing to ensure Ms. Sayegh receives the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excellence she deserves from your firm.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your assessment is that post-November 19 retention would better serve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Ms. Sayegh's interests (allowing adequate onboarding time and avoiding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deadline pressure), we would greatly respect that professional opinion and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 accordingly.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your assessment is that immediate retention is viable without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compromising quality, please explain how your firm would manage the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November 1 and November 19 deadlines.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TIMELINE: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the November 1 deadline urgency, we respectfully request your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by end of day Wednesday, October 30, 2025 (48 hours).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will allow Ms. Sayegh to make an informed decision based on your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professional input.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CLOSING: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Ms. Sayegh is impressed by your firm's credentials (CFLS certification is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exceptional) and your retainer agreement is professional and fair. She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wants to work with your firm.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only question is WHEN - immediately or post-November 19 - and we defer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your professional judgment on what best serves her case.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your consideration of these timing concerns. We look forward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your response.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Respectfully,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Brakebill Jones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DV Case Manager &amp; Strategic Advisor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behalf of: Nuha Sayegh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Email: eric@recovery-compass.org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Phone: 626-348-3019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