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21:44:34 -0800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Trust Citations: Unilateral Authority Confirmed (Will is Irrelevant)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the full Trust and First Amendment. Please review the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citations below which resolve the "Jurisdiction" question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 not need to check the Will for authority over the House. The Will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governs "Co-Executors" (Probate). The Trust governs the "Successor Trustee"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(House).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*1. The House is a Trust Asset (Page 46 &amp; 56)*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*Schedule A (Page 46)* explicitly lists 17742 Berta Canyon Road as a Trust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asset. The *First Amendment (Page 56)* reconfirms this distribution. Since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Nicora already conceded this in his June 27 letter, the property is outside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jurisdiction of the Will.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*2. I Am Sole Trustee, Not "Co-Trustee" (Page 41)*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*Page 41, Section B (Successor Trustee)*. It explicitly designates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"Eric Brakebill Jones" as the *Successor Trustee* (Singular).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designates Heidi Jones Blanchard as the *"alternate successor Trustee."*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Co-Trustees. As long as I am serving, I act alone. The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"Co-Executor" deadlock you are worried about from the Will does not exist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Trust.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*3. Unilateral Power to Convey (Page 38)*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*Article VII, Section E (Page 38)*. The Trustee has the explicit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to "sell... or convey real or personal property... publicly 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privately... without order of court."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*Conclusion:*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ambiguity.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*Car:* Probate Asset -&gt; Will applies -&gt; Co-Executors need to agree.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*House:* Trust Asset -&gt; Trust applies -&gt; Sole Successor Trustee (Me)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acts unilaterally.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you have reviewed these pages so we can proceed without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waiting to "figure out where we stand." The Trust document stands on its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