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16:45:41 -0700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LASC Probate (§850 + Ex Parte TRO) – Concierge eFiling Request – Eric B. Jones (Pro Per)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the message a First Legal representative will be in touch with 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(attached). As I am not a lawyer and am e-filing pro per, do you provide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 services?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Oct 30, 2025 at 4:23 PM LA Court &lt;lacourt@firstlegal.com&gt;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 do you have an account with first legal?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Felix Hernandez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Court And Process]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&lt;https://www.firstlegal.com/court-and-process/&gt;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Facebook] &lt;https://www.facebook.com/FirstLegalNetwork&gt;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First Legal LinkedIn]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&lt;https://www.linkedin.com/company/first-legal-support-services/&gt;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*LA Court**​**​**​**​*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*| 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L.A. Court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lacourt@firstlegal.com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*First Legal | Court &amp; Process*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Office: 213.250.1111, Ext. 1120 &lt;213.250.1111,%20Ext.%201120&gt;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www.FirstLegal.com &lt;https://www.firstlegal.com/&gt;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Eric B Jones &lt;eric@recovery-compass.org&gt;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30, 2025 4:08 PM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eFiling &lt;efiling@firstlegal.com&gt;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LA Court &lt;lacourt@firstlegal.com&gt;; Daniel Torres &lt;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dtorres@firstlegal.com&gt;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LASC Probate (§850 + Ex Parte TRO) – Concierge eFiling Request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– Eric B. Jones (Pro Per)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don't often get email from eric@recovery-compass.org. Learn why this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important &lt;https://aka.ms/LearnAboutSenderIdentification&gt;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 Concierge Team,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a *self‑represented litigant* seeking *concierge eFiling today* in *Los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Angeles Superior Court – Probate (Stanley Mosk)* for a *Probate Code §850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petition* with an *ex parte TRO*.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*Attached (in a single ZIP)* you will find eight PDFs: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Petition (§850) – lead document to open the case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Ex Parte Application for TRO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Memorandum of Points &amp; Authorities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Declaration of Trustee (with Exhibits A–D – bookmarked)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Declaration re Notice (CRC 3.1204)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Proposed TRO/OSC (stand‑alone order)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PRO‑010 Probate Case Cover Sheet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One‑page executive summary with party contact details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All documents are *8.5×11”, OCR’d, and meet CRC 2.111 format requirements*.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Bookmarks are present on each exhibit.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*Key requests:*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*Two-envelope approach:*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*Envelope 1:* File the §850 Petition to open the case and obtain 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case number.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*Envelope 2:* Immediately file the ex parte application and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supporting documents into the new case.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*Formatting compliance:* Please confirm page size, OCR status,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exhibit bookmarks, and correct document-type mapping per LASC Probate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eFiling protocols.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*Fees:* Please advance all court fees on my behalf and invoice me.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 *Timing:* Aim for *same-day submission* before LASC’s ex parte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cutoff; if that’s not possible, please file at the earliest available time.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5. *Notifications:* Email me confirmation of each submission and any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clerk comments or rejections.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*Case caption:* *In the Matter of the Judy Brakebill Jones 2008 Revocable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Trust*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*Petitioner:* Eric B. Jones (Successor Trustee) – (626) 348‑3019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eric@recovery-compass.org | 5634 Noel Dr., Temple City, CA 91780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*Respondents:* [Names and contact details in attached summary]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*Urgency:* There is an active risk of dissipation of trust funds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($10,650) and destruction of digital evidence (an iPhone).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 of this package and provide your estimated time of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filing. I’m available at (626) 348‑3019 for any questions.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assistance,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Jones, MSW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Founder, Recovery Compass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