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4 Nov 2025 21:51:32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"Xiaoye (Melody) Zhou" &lt;melody@hbuilaw.com&gt;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SUBJECT: Case 25PDFL01441 - Evidence Analysis Complete for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19 Hearing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Melody from H Bui Law Firm. I can help you schedule a phone conference with you and attorney.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understanding!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[cid:image001.jpg@01DC4D92.1FD5EDF0]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Xiaoye (Melody) Zhou | Admin Department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melody@hbuilaw.com  t:  626.683.7574   f:  888.335.2040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4, 2025 12:28 PM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Xiaoye (Melody) Zhou &lt;melody@hbuilaw.com&gt;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SUBJECT: Case 25PDFL01441 - Evidence Analysis Complete for November 19 Hearing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Attorney H Bui,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email finds you well. I am writing to provide strategic briefing following the activation of our attorney-client relationship and the completion of comprehensive evidence analysis for our November 19, 2025 hearing.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my Chief Domestic Violence Advocate, has completed analysis of 76 files obtained through discovery, revealing three significant pieces of evidence that create opportunities for strategic motions: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Criminal Prosecution Blueprint (September 29, 2025)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Freddy's self-email planning criminal charges against me, including allegations that my cancer diagnosis was fraudulent to obtain money.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"Defrauding Another of Property by False Pretenses (PC §532) – Her cancer hoax to obtain money and property. Damages You Could Claim: Economic... money fraudulently taken ($100k+)"</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suggests we should consider criminal defense counsel consultation and protective order options.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Asset Dissipation During Proceedings (October 16-30, 2025)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Alta Design Works LLC actively negotiating payments after divorce filing, without court disclosure.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quote: "Payment to Alta needs to be at phase 2. Also the concern of 'what if GCs pay alta and then later... the GCs are screwed since they paid out already"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creates potential grounds for asset freeze motions and FL-142 accuracy review.</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Documentation Issues ($704,000 Lien)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shows father's lien with no payment history over 13 years, with promissory note reportedly destroyed in fire.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Direct quote: "Father's lien: $460,000 at 4% simple interest from 7/20/2012, NO PAYMENTS, payoff ≈ $704,493... The promissory note itself was in the house at the time of the Altadena fire and was among the documents destroyed"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warrants review of property characterization and authentication requirements.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Assessment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Eric's analysis indicates we have strong evidentiary positioning with: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documentation of opponent's strategy through discovery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 potential subpoena targets identified and prioritized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motion opportunities for the November 19 hearing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foundation for both settlement negotiations and trial preparation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Available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has prepared comprehensive materials for attorney review:</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Documents: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 - Quick reference with key evidence quotes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 - Complete case navigation and strategy overview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COMPREHENSIVE_STRATEGIC_ANALYSIS_INTEGRATED.md - Detailed analysis and recommendations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Materials: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ranking tables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analysis with critical dates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Subpoena target evaluation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and admissibility review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Preparation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15 days remaining, Eric recommends we discuss: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Motion filing priorities and timelines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completion strategies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Expert witness consultations if needed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Settlement positioning versus trial preparation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strategic recommendations prioritize the safety and welfare of Mia (13) and Jordan (6).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Meeting Request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appreciate scheduling a meeting this week to review the evidence package and discuss our approach for the November 19 hearing. Eric indicates the key strategic points can be covered in about 30 minutes, with detailed materials available for comprehensive review.</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availability: Opened mornings early afternoon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analysis suggests we have strong positioning for both settlement negotiations and trial preparation. All materials maintain proper attorney-client privilege and work product protection.</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representation. I look forward to working together on this matter.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Respectfully,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Case No. 25PDFL01441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310-384-8404</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Nuha@recovery-compass.org&lt;mailto:Nuha@recovery-compass.org&gt;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Chief Domestic Violence Advocate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materials prepared under attorney-client privilege and work product doctrine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Attachments Available: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EXECUTIVE_SUMMARY_H_BUI_NOVEMBER_19.md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README_START_HERE.md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evidence package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