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12:35:48 -0800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Limited-scope § 850 petition review + court appearance inquiry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my approach need tweaking?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Nov 21, 2025 at 12:32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Limited-scope § 850 petition review + court appearance inquiry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&lt;lstoller@theprobatehouse.com&gt;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Lorenzo,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came across your excellent Avvo reviews (10/10 with 49 reviews—really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impressive) and wanted to reach out about a limited-scope probate matter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working 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successor trustee in an LA County trust case, and I have a finalized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Probate Code § 850 petition ready to file. What I'm looking for is someone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 do a procedural compliance review—just making sure the caption,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venue, notice timing under § 851, and relief alignment (including § 859)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all correct—and then make a one-time special appearance at the initial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on December 3rd. After that, you'd withdraw under CRC 3.35-3.37.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case has some financial elder-abuse elements, and I've actually got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admission from opposing counsel. I'm seeking return of $10,650,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turnover, § 859 double damages, and a RUFADAA order.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The Probate House be open to handling this on a limited-scope basis?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so, can you provide a flat fee or capped estimate for the review with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notes and the court appearance? My budget is in the $2,000 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$3,000 range.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send over the full packet (petition + DE-115 + POS drafts + exhibits)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away for conflict screening if this is something you'd consider.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so much for your time,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 | eric@recovery-compass.org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