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22:04:45 -0800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Cheat sheet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Anuar,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the full Trust and First Amendment, along with a quick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sheet. Please review the specific citations below which resolve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jurisdiction question immediately.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 not need to check the Will for authority over the House. The Will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governs Co-Executors (Probate). The Trust governs the Successor Trustee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(House).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House is a Trust Asset (Page 46 and 56)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Schedule A (Page 46) explicitly lists 17742 Berta Canyon Road as a Trust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asset. The First Amendment (Page 56) reconfirms this distribution. Since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Nicora already conceded this in his June 27 letter, the property is outside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jurisdiction of the Will.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Am Sole Trustee, Not Co-Trustee (Page 41)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Refer to Page 41, Section B (Successor Trustee). It explicitly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designates Eric Brakebill Jones as the Successor Trustee (Singular). It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designates Heidi Jones Blanchard as the alternate successor Trustee.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Co-Trustees. As long as I am serving, I act alone. The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Co-Executor deadlock you are worried about from the Will does not exist in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Trust.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Unilateral Power to Convey (Page 38)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Refer to Article VII, Section E (Page 38). The Trustee has the explicit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power to sell or convey real or personal property publicly or privately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without order of court.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ambiguity.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Car: Probate Asset. Will applies. Co-Executors need to agree.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House: Trust Asset. Trust applies. Sole Successor Trustee (Me) acts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unilaterally.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you have reviewed these pages so we can proceed without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waiting to figure out where we stand. The Trust document stands on its own.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helping me navigate this.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