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12:07:10 -0800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Collaborative Letter to Nicora - Detailed Corrections &amp; Next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my previous note regarding the draft, I have itemized the specific critical issues that must be addressed before we proceed.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FACTUAL ERROR (CRITICAL): The letter references a "Lake Hughes property." This property does not exist in our case. The Trust property is located at 17742 Berta Canyon Road, Salinas, CA 93907 (per Nicora's June 27th letter). I suspect this is an artifact from the drafting process, but sending a demand letter with a fabricated property address will immediately destroy our credibility with opposing counsel.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TRUST DATE ERROR: The letter states the Trust is dated "May 30, 2008." Nicora's letter (and the actual Trust document) shows March 18, 2008. This is a second factual error that signals the letter wasn't verified against source documents.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STRATEGIC TIMING: I maintain my concern about Nicora's representation status. We haven't heard from them since September. If they're no longer counsel, this letter: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Shows our full legal strategy (Heggstad, TRO, surcharge remedies) to the opposition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Gets no response, wasting critical time while foreclosure threatens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Makes us look like we didn't do basic due diligence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STEP: Before revising this letter, please call Nicora Law tomorrow morning (Monday) to confirm: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Are they still representing Heidi Blanchard?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If yes, are they authorized to negotiate on Trust matters?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confirm active representation: We revise the letter with correct facts and send 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they don't respond or are out: We stop waiting and file immediately.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is to verify before we expose strategy. A 5-minute phone call saves us from a potentially catastrophic unforced error.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once you've made contact.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