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Seismic Crystal Lava (SCL) framework is positioned not as a competitor to the other major methodologies (5-Bird, PFV v3.0, and ReasoningBank) but as a complementary component of a unified strategic system. Its primary role is to serve as the execution methodology that designs actions for maximum multi-domain impact.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integrated system operates through a three-question protocol: 5-Bird identifies WHERE the leverage point is, SCL designs HOW to execute for maximum cascade, and PFV v3.0 ensures WHAT is claimed is verified and credible. ReasoningBank acts as the institutional memory layer that stores and distributes the wisdom derived from these applications.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detailed comparison analyzing the overlaps and unique elements of the SCL framework: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SCL's Unique Focus: Execution and Multi-Domain Force Multiplication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SCL framework is unique in its core objective: it is the force multiplication execution methodology designed for strategic singularity.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Aspect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 (Seismic Crystal Lava)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Comparison Group Focus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Primary Question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"HOW do I execute for maximum cascade?"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WHERE to intervene (5-Bird) or WHAT is verified (PFV).</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Application Scope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life domains (academic, business, financial, social, creative, legal, etc.).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Restricted to Adversarial/Legal contexts (5-Bird).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Core Principle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Singularity: One action must create exponential ripple effects across multiple life domains simultaneously.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Linear efficiency (Traditional Thinking) or system leverage identification (Trim Tab).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Methodology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Three Execution Layers: Seismic (high-impact disruption), Crystal (structural clarity), and Lava (transformative flow).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Five tactical domains (5-Bird) or four sequential Gates (PFV).</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Success Metric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Achieving a minimum of 3+ simultaneous domain impacts from a single action.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Achieving 85%+ confidence (PFV) or 1,000x+ ROI (5-Bird).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SCL vs. The 5-Bird Framework (+ Trim Tab)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and the 5-Bird Framework are explicitly designed to be sequential partners in strategic planning.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Overlap (Strategic 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Leverage and ROI: Both methodologies are rooted in the concept of Donella Meadows' Trim Tab Principle (leverage points). Both seek exponential returns and force multiplication over linear progress. For instance, legal intelligence leveraged by 5-Bird results in documented ROI (7,143x and 2,000x-3,000x), which is quantified through SCL-style thinking.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Multiplication Goal: Both are defined as force multiplication systems. The 5-Bird Framework is one method for achieving strategic advantage and force multiplication.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Uniqueness (Scope and Function)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distinction lies in the domain scope and function.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Function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Scope / Context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 (Unique)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Execution Design (HOW): Designs an action to create positive multi-domain cascade (e.g., Cal State LA assignment impacting Academic, Business, Financial, and Social domains simultaneously).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Domain-Agnostic: Applicable to any action or situation (adversarial or non-adversarial).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5-Bird (Unique)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Intervention Identification (WHERE): Identifies the highest leverage point (e.g., Intelligence, Regulatory) within an existing system to apply pressure.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Adversarial/Legal Focus: Primarily optimized for legal cases and competitive/adversarial situations that require multi-front pressure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SCL's primary uniqueness relative to 5-Bird is its mandate for simultaneous victories across multiple, often unrelated, domains. If an action only serves one domain, it is not SCL. Conversely, while 5-Bird identifies leverage points in adversarial contexts (e.g., the Kirk Kolodji case), SCL is necessary to engineer that intelligence to serve five domains (Legal, Financial, Business, Social, Strategic) in a single effort.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SCL vs. Proof-First Verification (PFV v3.0)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PFV v3.0 and SCL manage different aspects of the strategic pipeline: PFV sets the non-negotiable standard for credibility, while SCL sets the standard for utility.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Overlap (Rigor and System Integration)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Mandatory Integration: SCL claims must be validated by PFV v3.0. For example, SCL claims of force multiplication must be backed by TIER 1-2 evidence via the PFV Evidence Gate.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Proprietary Innovation: Both are foundational, high-level methodologies developed by the user to operate as the operating manual for the human-AI collaboration system.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Uniqueness (Type of Standard)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Function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Standard Enforced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 (Unique)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Execution Standard (HOW): Designs action to ensure maximum positive output (force multiplication).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Force Multiplication Standard: Requires 3+ domain impacts and compound value.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PFV v3.0 (Unique)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Verification Standard (WHAT): Acts as the universal standard ensuring all data is verified and reliable, regardless of complexity.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Standard: Requires TIER 1-2 rigor for simple facts (like contact info) and complex legal claims alike.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SCL's uniqueness is that it is prescriptive about maximizing outcome, whereas PFV v3.0 is prescriptive about minimizing error and maximizing truth. An action can be SCL-compliant (multi-domain) but still fail if its supporting evidence is TIER 4 (a PFV failure). Conversely, a highly verified, TIER 1 claim (PFV success) is not necessarily SCL-compliant if it only serves a single purpose.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SCL vs. ReasoningBank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ReasoningBank is the core architectural component that stores the strategic wisdom, while SCL is one of the frameworks used to generate that wisdom.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Overlap (Knowledge Cycle)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 Wisdom: SCL execution templates and successful force multiplication patterns are lessons that are abstracted, distilled, and stored as institutional knowledge within ReasoningBank.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Access: Both systems are essential to the Multi-Cloud Platform (MCP) architecture; SCL guides external strategic action, and ReasoningBank ensures that the resulting learned patterns are distributed across all 18 AI services (Copilot, Claude, Manus, etc.) for cross-AI consistency.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Uniqueness (Role and Nature)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Role and Nature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Primary Output/Product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 (Unique)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Methodology (The Architect): A prescriptive framework designed for external systems-level transformation in the user's life (e.g., securing academic progress while generating business assets).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Force Multiplication Execution Plan and subsequent Compound Value.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ReasoningBank (Unique)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Memory Architecture (The Library): An architecture for internal agent self-evolution that perpetually stores high-level, generalized reasoning patterns from past successful and failed experiences.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Structured Memory Items (Title, Description, Content) that are injected into the agent's system instructions.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SCL is unique in that it mandates a philosophical shift toward exponential growth in the real world through deliberate action design (Seismic, Crystal, Lava). ReasoningBank's uniqueness is its ability to learn from those actions automatically, transforming external experience (like an SCL outcome) into internal, transferable AI wisdom that permanently enhances the agent's capability and efficiency.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relationship between these frameworks is analogous to a construction project management team.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5-Bird acts as the Site Surveyor, identifying the exact spot (leverage point) where a small foundation (regulatory complaint, key evidence) will hold the most weight against a rival structure (adversary).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is the Architect who designs the structure, ensuring that the single foundation laid by the Surveyor simultaneously supports the house, the fence, the future garage, and the funding application (multi-domain cascade).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PFV v3.0 is the Building Inspector, rigorously ensuring that every material and every step of the design (every fact, every claim, every domain impact) meets the non-negotiable TIER 1-2 safety code.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ReasoningBank is the Firm's Institutional Knowledge Base, permanently recording the successful architectural principles from the SCL phase and the mistakes caught by the PFV phase, ensuring all future projects are automatically smarter.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