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/Users/ericjones/NOTION_STATUS_UPDATE_OCT31_2025.md and then update my Notion page at https://www.notion.so/09a4eba1ae5746699b4fcd4d5ee7cc19?v=c9a13b256f9f445d8f948488dd304f43 with that content.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You have permission to read /Users/ericjones directory. The filesystem MCP is configured with /Users/ericjones as an allowed directory.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Preserve the zen minimalist, Steve Jobs-inspired design aesthetic throughout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proper Notion formatting (headings, dividers, toggles where appropriate)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Update all project statuses in the existing page structure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Add the Notion Mail architecture section as a new section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Maintain clean typography hierarchy and intentional white space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Use minimal color coding (only for critical status indicators)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Organize content so "Priority Today" items are immediately visible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Hide detailed information in toggles or sub-pages to maintain calm interface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sections to update: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Active projects status (SVS, Kathy Hart/Chase, Recovery Compass)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Recent completions (TRO filing, dashboard diagnosis, Coupler decision)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Pending tasks organized by timeline (This Week, November, Q1 2026)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Notion Mail integration architecture and setup instructions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Deadline monitoring (with auto-alert dates)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Vacation status and autopilot systems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Force multiplication status and trim tab metrics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principles to maintain: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Information density without clutter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Focus on actionable items only (hide reference material in sub-pages)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anxiety-inducing badge counts or red flags unless truly urgent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view should feel inevitable and calm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Power hidden beneath simple surface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updating, confirm: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All status information is current as of October 31, 2025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page follows zen minimalist aesthetic consistently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Navigation is intuitive and requires minimal clicks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The "Priority Today" section shows 0 items (vacation mode active)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All automation and monitoring systems are documented as "running automatically"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