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﻿Contextual Overview of Recovery Compass and Executive Intent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Mission of Recovery Compass as Environmental Response Design Vanguard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Compass originally formed to validate Environmental Response Design as a formally recognized evidence-based practice capable of accelerating survivor recovery across domestic-violence, elder-abuse, and coercive-control landscapes. At its philosophical core sits the conviction that data architecture can and must translate authentic human-centered interventions into standardized metrics that academic, philanthropic, and governmental actors accept as empirically persuasive. That mission statement animates every strategic branch of the portfolio, from pro per litigation designed to set favourable case law precedents through to technology platforms that lower the cost of evidentiary intelligence for under-resourced communities. The organizational north star therefore fuses social-impact rigor with entrepreneurial agility, always chasing a proof-first demonstration that small interventions, when systemically documented, unlock disproportionate downstream leverage.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Genesis and Evolution of the 5-Bird Force-Multiplication Methodology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5-Bird framework—Intelligence, Evidence, Regulatory, Coalition, Counter-Intelligence—emerged when the founding team noted repeated patterns in which isolated activism stalled at predictable points of institutional resistance. By sequencing these five pillars, Recovery Compass codified a replicable cycle: derive machine-assisted intelligence from unstructured sources, convert that intelligence into prosecutable evidence, deploy that evidence through multi-agency regulatory pressure, reinforce momentum by harnessing coalition relationships, and continuously map opponent weaknesses through counter-intelligence loops. The methodology’s novelty lies in its capacity to transmute a single unit of documented harm into multiple concurrent pressure vectors, thereby creating what the team frequently describes as “force multiplication.” Recent court filings illustrate the doctrine in action: a carefully prepared declaration packet that illuminated a pattern of financial intimidation simultaneously became fodder for a Consumer Financial Protection Bureau complaint, a county elder-abuse referral, and a narrative pitch to investigative journalists. By embedding cross-channel re-use into the methodology’s DNA, the 5-Bird platform chases exponential effect, a theme that echoes throughout the UPKF.</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Values and Operating Principles that Shape Decision-Making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methodology is procedural, the cultural substrate driving decisions remains uncompromisingly values-laden. Evidence over emotion, notice early act early, you’re not alone constitutes more than an aphorism; it is the ethical checkpoint invoked before initiating any new legal or technical manoeuvre. Complementing this maxim is the so-called Trim-Tab Principle: always identify the smallest executable step that nevertheless nudges the enterprise’s inertial mass toward a more favourable equilibrium. These axioms serve two practical purposes within the context file. First, they function as interpretive keys; when an AI system confronts ambiguous trade-offs—speed versus thoroughness, public exposure versus stealth escalation—these values specify the tiebreaker logic. Second, they help external collaborators decode why certain opportunities are pursued while superficially attractive distractions are deprioritized. The values framework thus forms a meta-layer atop factual data, guiding prompt engineering toward solutions that are not merely intelligent but philosophically consonant with organizational identity.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Litigation, Platform Development, and Partnership Timeline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Case Portfolio as of 6 November 2025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Three primary matters currently anchor the legal docket. Sayegh v. Sayegh—an emergency Domestic-Violence Restraining Order—holds the nearest hearing date and commands the highest immediate evidentiary workload. Attorney Sara Memari’s office at H Bui Law received a comprehensive evidence package in the early hours of 6 November, the contents of which inform both courtroom preparation and parallel regulatory complaints. Next, the Judith Jones Trust foreclosure defence faces a 3 December statutory deadline; coordination with attorney Anuar Ramirez continues, as reflected in a morning exchange urging expedited re-submission of a corrected deed filing. Finally, the Hart Power of Attorney Abuse claim against J. P. Morgan Chase, while temporally distant, underpins a potential class-action expansion hypothesis discussed later in this document.​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numerical health of each case is tracked through an internal scoring rubric that weighs evidentiary sufficiency, attorney bandwidth, and judicial posture. A summarizing table captures the snapshot: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Score (0-100)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Next Key Date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Strategic Objective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Illustrative ROI Multiple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SVS DVRO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98</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 Nov 2025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Secure permanent restraining order; establish fee-recovery precedent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7 143×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JJ Trust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 Dec 2025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Preserve home equity; file quiet-title cross-complaint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30-400×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Hart POA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 Feb 2026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Negotiate settlement or initiate class action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2 000-3 000×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Within the narrative logic of this UPKF, those metrics supply immediate context whenever an AI agent must adjudicate between task prioritizations. If, for example, two competing prompt requests vie for execution bandwidth, the agent can reference the table to elevate any deliverable that materially advances the SVS matter over a lower-scored initiative.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Development Roadmap and Platform Dependencies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 to litigation, two software initiatives shape the mid-term landscape: the 5-Bird Platform itself and Recovery Compass’s data architecture engine. As of 6 November, internal commit telemetry registers 138 code pushes in the preceding thirty-day window, signalling sustained sprint velocity on the Recovery Compass repository, while the 5-Bird codebase stabilizes toward a Q1 2026 public beta. The platforms share a modular nucleus that ingests Gmail and Google Drive evidence, normalizes it into JSON-LD schema, and feeds both a Streamlit-based investigative dashboard and a Canva-generated executive overlay. That interoperability mandates strict version-control discipline; thus, the UPKF instructs any prompt executing DevOps tasks to respect semantic-versioning gates and to include automated notebook tests that guarantee data-type integrity before merging pull requests.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Coalition and Stakeholder Matrix</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coalition currently spans three retained attorneys, two nonprofit partners, a nascent group of academic collaborators, and a rolling roster of subject-matter experts. Within the last twenty-four hours, Rudy Garcia of Whittier First Day confirmed willingness to coordinate meeting logistics while lead contact Randall is on leave. Such communications underscore a principle: coalition health is monitored not just through legal victories but through responsiveness cadence. An unreturned email older than five business days flags a preliminary risk, prompting internal escalation to sustain relational momentum. Accordingly, the UPKF instructs generative systems to flag any communication lag that exceeds this threshold when analysing Gmail corpora.​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Ecosystem and Evidentiary Signal Architecture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Gmail Stream as Primary Event Sensor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the majority of actionable triggers surface first in inbox form, Gmail occupies Tier 1 priority in the data-source hierarchy. Over the last twelve hours, inbound messages have ranged from marketing signals—October’s hottest AI tools newsletter—to critical legal follow-ups, including a forwarded evidence analysis for the November 19 hearing. Even ostensibly mundane receipts can harbour financial foresight, as illustrated by the Digital Inspiration licence purchase logged at 6:49 PM, 5 November, which extends the Save Emails as PDF automation crucial for archiving time-stamped communications. Because these heterogeneous threads share the common vector of timestamped metadata, the UPKF prescribes a systematic tagging convention: each email parsed by automation inherits labels for Matter, Urgency, Evidence-Value, and Financial-Impact. AI prompts tasked with triage should reference those tags before drafting reply templates or filing attachments.​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Drive and Local File-System Depth Structure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 encompasses Google Drive directories subdivided into /Cases/, /Active/, /Projects/, and /Desktop/💎/, while Tier 3 captures the local filesystem mirror. Within Google Cloud, a recent product-update notice detailing third-party subprocessors requires compliance review because any new data-labeling provider affects how deposition transcripts flow into Vertex AI fine-tuning pipelines. Downstream, CloudHQ automation logs confirm successful PDF archiving of selected emails, marking a closed loop between Gmail ingestion and Drive preservation. The UPKF mandates that any prompt initiating cloud executions must verify storage quotas, folder permissions, and DLP rules to avoid inadvertent exposure of privileged materials.​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Automation Workflow and the MCP Bridge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Machine–Context Protocol (MCP) serves as the orchestration glue linking evidence streams to actionable outputs. For instance, an unsubscribe confirmation dispatched at 10:44 AM signals that marketing noise had reached cognitive-load capacity; the automation flagged this as a Well-Being Burnout risk vector and throttled further tool-review newsletters. Conversely, the AI consulting playbook digest landed at 7:10 AM and passed the relevance filter because the text intersects directly with the 5-Bird platform’s legal AI niche. The UPKF therefore instructs any optimizer-prompt to weigh inbound content against a Relevance × Burnout matrix, favouring high strategic value but dampening glut.​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Canva Dashboard as Visual Nerve Center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Canva dashboard stands as both a communication artefact and a data sink. Its horizontal bar graph for portfolio health renders in emerald, amber, and crimson hues, mapping numerics to semantic threat zones. Each bar is dynamically generated from JSON payloads pushed via the MCP-Canva REST bridge. The most recent design iteration, saved under the filename Canva _11_06.jpg, incorporates countdown badges overlaid atop case cards, instantly signalling that thirteen days separate the organisation from the SVS hearing. Within the UPKF, such visual elements are not decorative but functional; the colour and countdown semantics become parametric variables that AI agents reference when summarising status to unfamiliar recipients.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Priorities, Blind Spots, and Opportunity Horizon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Near-Term Deadline Pressure and Risk Matrix</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three litigation matters anchor immediate urgency, hidden dependencies elevate systemic risk. The JJ Trust filing, for example, cannot simply be viewed as a 3 December deliverable. Because any failure to submit corrected formatting may reset notice periods, the entire 8-week cash-flow forecast would destabilise—a point flagged during Anuar Ramirez’s email clarifications. The UPKF codifies such interdependencies by storing them as graph-edge weights in the project-ontology schema; when an AI agent forecasts financial health, it queries not just isolated deadlines but propagation consequences.​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Opportunity Pipeline Framed by Value-Probability Curves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high-beta revenue paths populate the horizon, some traditional—fee recovery, settlement structures—and others decidedly non-traditional, such as SBIR grants or AI partnership datasets. The AI consulting newsletter elaborating on McKinsey-style service models dovetails with the possibility of marketing the 5-Bird methodology as a licensed expert system. Meanwhile, acquisition prospects by legal-tech incumbents align with the force-multiplication IP that underpins your 7 143× case-cost savings narrative. To quantify these options, the UPKF introduces a Value × Probability grid where each cell stores Monte Carlo simulation outputs across conservative, moderate, and optimistic assumptions. Whenever a prompt seeks to propose next steps, it should draw from this grid to justify recommendations in numerate terms rather than rhetorical enthusiasm.​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Financial Forecasting and Cash-Runway Visibility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Receipts and order confirmations flowing into Gmail expose both cash outflows—such as the $39.95 Digital Inspiration licence and an unanticipated e-commerce shipment processed through Batch at 11:27 AM—and projected inflows, notably attorney fee recovery. By aggregating these debits and credits into a rolling twelve-week projection, the UPKF reveals an untracked liability: a potential –$10 500 liquidity hole across November and December unless lawsuit reimbursements materialise on schedule. The framework therefore flags cash runway as a Priority One blind spot, instructing any generative-finance prompt to demand current account balances before finalising forecast charts.​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Probabilistic Scenario Planning and Stress-Test Cadence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convert risk awareness into actionable readiness, the UPKF institutes four standard forecast intervals: 2, 4, 8, and 12 weeks. Each horizon associates with Bayesian confidence bands whose priors derive from evidence density—a concept explained in internal memos but embodied here as a living parameter. For instance, the 2-week horizon boasts a 90 percent confidence rating because Gmail threads supply dense factual scaffolding, whereas the 12-week forecast drops to 70 percent given the compounding unknowns about external court scheduling. AI systems engaged in scenario generation must embed these confidence coefficients into any graph or narrative output so that executives instantly grasp epistemic limits.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Engineering Meta-Layer and Operational Guidelines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 Context for GitHub Copilot MCP Executions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Whenever a developer or knowledge worker triggers Copilot MCP to draft code, design assets, or legal templates, this UPKF must accompany the primary prompt as an attachment named UPKF_vYYYYMMDD.md. The presence of that file instructs the language model to parse organisational constants before executing task-specific logic. Concretely, if the user requests an image mirroring the Canva dashboard, the model first inspects the Visual Nerve Center schema inside the UPKF, thereby inheriting hex colour codes, title fonts, and bar-chart legends. Consequently, outputs appear native rather than generic.</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 for Universal Context Upload and Versioning Semantics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UPKF employs semantic versioning in its filename to prevent context drift. Minor revisions—such as updating a deadline—increment the patch digit, while introducing entirely new opportunity classes, like social-impact bonds, triggers a minor-version bump. A major-version increment only occurs when foundational methodology elements shift—for example, if the 5-Bird framework evolves into a 6-pillar construct. Every AI prompt must include a preamble line reading, Context-File: UPKF_vYYYYMMDD.md, enabling automation routers to fetch the latest commit from the central Drive repository.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Protocols and Living-Document Governance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remain authoritative, the UPKF refreshes automatically via a nightly MCP job that scans Gmail for high-signal threads, Google Drive for newly modified evidence folders, and the local filesystem for key-word patterns like deposition or settlement. Each digest triggers a pull request against the UPKF markdown, which a human reviewer merges after verifying accuracy. The reviewer inserts inline citations using the same bracketed index style adopted throughout this document, ensuring auditability. Thus, the context file retains both chronological fidelity and source transparency.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Privacy, and Regulatory Compliance Safeguards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UPKF can contain attorney-client privileged material, distribution is scoped to a Google Workspace group that enforces two-factor authentication. AI systems running outside that secure enclave, such as public SaaS optimizers, should only ingest redacted variants where sensitive figures appear as ranges, not absolutes. Additionally, the presence of minors’ names, medical details, or non-public personal information triggers automated masking protocols before the file leaves the zero-trust perimeter. Any AI prompt requesting full unredacted content must include a compliance justification string; otherwise, access is denied.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Positioning the UPKF as a Living Strategic Asset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Universal Prompt Knowledge File is more than metadata; it functions as the cognitive exoskeleton for every AI agent, human collaborator, and regulatory brief that intersects with Recovery Compass. By embedding mission, portfolio, data architecture, risk posture, and opportunity gradient into a single extensible markdown artefact, the organisation guarantees that each new prompt—be it legal, technical, design, or financial—launches from a shared situational awareness baseline. The document will evolve daily through automated ingestion and human review, forever reflecting the most current synthesis of evidence and intent. Because the values of evidence over emotion and trim-tab leverage permeate every paragraph, the UPKF ensures that future automation aligns not merely with operational minutiae but with the philosophical heartbeat of the enterprisese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