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vrk8ze6v8u3k" w:id="0"/>
      <w:bookmarkEnd w:id="0"/>
      <w:r w:rsidDel="00000000" w:rsidR="00000000" w:rsidRPr="00000000">
        <w:rPr>
          <w:b w:val="1"/>
          <w:bCs w:val="1"/>
          <w:rtl w:val="0"/>
        </w:rPr>
        <w:t xml:space="preserve">Contextual Overview of Recovery Compass and Executive Intent</w:t>
      </w:r>
      <w:r w:rsidDel="00000000" w:rsidR="00000000" w:rsidRPr="00000000">
        <w:rPr>
          <w:rtl w:val="0"/>
        </w:rPr>
      </w:r>
    </w:p>
    <w:p w:rsidR="00000000" w:rsidDel="00000000" w:rsidP="00000000" w:rsidRDefault="00000000" w:rsidRPr="00000000" w14:paraId="00000002">
      <w:pPr>
        <w:pStyle w:val="Heading2"/>
        <w:rPr/>
      </w:pPr>
      <w:bookmarkStart w:colFirst="0" w:colLast="0" w:name="_p7xrnmqsm9jr" w:id="1"/>
      <w:bookmarkEnd w:id="1"/>
      <w:r w:rsidDel="00000000" w:rsidR="00000000" w:rsidRPr="00000000">
        <w:rPr>
          <w:b w:val="1"/>
          <w:bCs w:val="1"/>
          <w:rtl w:val="0"/>
        </w:rPr>
        <w:t xml:space="preserve">The Mission of Recovery Compass as Environmental Response Design Vanguard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Recovery Compass originally formed to validate Environmental Response Design as a formally recognized evidence-based practice capable of accelerating survivor recovery across domestic-violence, elder-abuse, and coercive-control landscapes. At its philosophical core sits the conviction that data architecture can and must translate authentic human-centered interventions into standardized metrics that academic, philanthropic, and governmental actors accept as empirically persuasive. That mission statement animates every strategic branch of the portfolio, from pro per litigation designed to set favourable case law precedents through to technology platforms that lower the cost of evidentiary intelligence for under-resourced communities. The organizational north star therefore fuses social-impact rigor with entrepreneurial agility, always chasing a proof-first demonstration that small interventions, when systemically documented, unlock disproportionate downstream leverage.</w:t>
      </w:r>
    </w:p>
    <w:p w:rsidR="00000000" w:rsidDel="00000000" w:rsidP="00000000" w:rsidRDefault="00000000" w:rsidRPr="00000000" w14:paraId="00000004">
      <w:pPr>
        <w:pStyle w:val="Heading2"/>
        <w:rPr/>
      </w:pPr>
      <w:bookmarkStart w:colFirst="0" w:colLast="0" w:name="_mkiw8061f898" w:id="2"/>
      <w:bookmarkEnd w:id="2"/>
      <w:r w:rsidDel="00000000" w:rsidR="00000000" w:rsidRPr="00000000">
        <w:rPr>
          <w:b w:val="1"/>
          <w:bCs w:val="1"/>
          <w:rtl w:val="0"/>
        </w:rPr>
        <w:t xml:space="preserve">The Genesis and Evolution of the 5-Bird Force-Multiplication Methodology</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5-Bird framework—Intelligence, Evidence, Regulatory, Coalition, Counter-Intelligence—emerged when the founding team noted repeated patterns in which isolated activism stalled at predictable points of institutional resistance. By sequencing these five pillars, Recovery Compass codified a replicable cycle: derive machine-assisted intelligence from unstructured sources, convert that intelligence into prosecutable evidence, deploy that evidence through multi-agency regulatory pressure, reinforce momentum by harnessing coalition relationships, and continuously map opponent weaknesses through counter-intelligence loops. The methodology’s novelty lies in its capacity to transmute a single unit of documented harm into multiple concurrent pressure vectors, thereby creating what the team frequently describes as “force multiplication.” Recent court filings illustrate the doctrine in action: a carefully prepared declaration packet that illuminated a pattern of financial intimidation simultaneously became fodder for a Consumer Financial Protection Bureau complaint, a county elder-abuse referral, and a narrative pitch to investigative journalists. By embedding cross-channel re-use into the methodology’s DNA, the 5-Bird platform chases exponential effect, a theme that echoes throughout the UPKF.</w:t>
      </w:r>
    </w:p>
    <w:p w:rsidR="00000000" w:rsidDel="00000000" w:rsidP="00000000" w:rsidRDefault="00000000" w:rsidRPr="00000000" w14:paraId="00000006">
      <w:pPr>
        <w:pStyle w:val="Heading2"/>
        <w:rPr/>
      </w:pPr>
      <w:bookmarkStart w:colFirst="0" w:colLast="0" w:name="_1083kuh6570c" w:id="3"/>
      <w:bookmarkEnd w:id="3"/>
      <w:r w:rsidDel="00000000" w:rsidR="00000000" w:rsidRPr="00000000">
        <w:rPr>
          <w:b w:val="1"/>
          <w:bCs w:val="1"/>
          <w:rtl w:val="0"/>
        </w:rPr>
        <w:t xml:space="preserve">Core Values and Operating Principles that Shape Decision-Making</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Although the methodology is procedural, the cultural substrate driving decisions remains uncompromisingly values-laden. </w:t>
      </w:r>
      <w:r w:rsidDel="00000000" w:rsidR="00000000" w:rsidRPr="00000000">
        <w:rPr>
          <w:i w:val="1"/>
          <w:iCs w:val="1"/>
          <w:rtl w:val="0"/>
        </w:rPr>
        <w:t xml:space="preserve">Evidence over emotion, notice early act early, you’re not alone</w:t>
      </w:r>
      <w:r w:rsidDel="00000000" w:rsidR="00000000" w:rsidRPr="00000000">
        <w:rPr>
          <w:rtl w:val="0"/>
        </w:rPr>
        <w:t xml:space="preserve"> constitutes more than an aphorism; it is the ethical checkpoint invoked before initiating any new legal or technical manoeuvre. Complementing this maxim is the so-called Trim-Tab Principle: always identify the smallest executable step that nevertheless nudges the enterprise’s inertial mass toward a more favourable equilibrium. These axioms serve two practical purposes within the context file. First, they function as interpretive keys; when an AI system confronts ambiguous trade-offs—speed versus thoroughness, public exposure versus stealth escalation—these values specify the tiebreaker logic. Second, they help external collaborators decode why certain opportunities are pursued while superficially attractive distractions are deprioritized. The values framework thus forms a meta-layer atop factual data, guiding prompt engineering toward solutions that are not merely intelligent but philosophically consonant with organizational identity.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2"/>
        <w:rPr/>
      </w:pPr>
      <w:bookmarkStart w:colFirst="0" w:colLast="0" w:name="_c19hg0jtplkh" w:id="4"/>
      <w:bookmarkEnd w:id="4"/>
      <w:r w:rsidDel="00000000" w:rsidR="00000000" w:rsidRPr="00000000">
        <w:rPr>
          <w:b w:val="1"/>
          <w:bCs w:val="1"/>
          <w:rtl w:val="0"/>
        </w:rPr>
        <w:t xml:space="preserve">Active Litigation, Platform Development, and Partnership Timeline</w:t>
      </w:r>
      <w:r w:rsidDel="00000000" w:rsidR="00000000" w:rsidRPr="00000000">
        <w:rPr>
          <w:rtl w:val="0"/>
        </w:rPr>
      </w:r>
    </w:p>
    <w:p w:rsidR="00000000" w:rsidDel="00000000" w:rsidP="00000000" w:rsidRDefault="00000000" w:rsidRPr="00000000" w14:paraId="0000000B">
      <w:pPr>
        <w:pStyle w:val="Heading2"/>
        <w:rPr/>
      </w:pPr>
      <w:bookmarkStart w:colFirst="0" w:colLast="0" w:name="_so98bxz04y3x" w:id="5"/>
      <w:bookmarkEnd w:id="5"/>
      <w:r w:rsidDel="00000000" w:rsidR="00000000" w:rsidRPr="00000000">
        <w:rPr>
          <w:b w:val="1"/>
          <w:bCs w:val="1"/>
          <w:rtl w:val="0"/>
        </w:rPr>
        <w:t xml:space="preserve">Legal Case Portfolio as of 6 November 2025</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Three primary matters currently anchor the legal docket. </w:t>
      </w:r>
      <w:r w:rsidDel="00000000" w:rsidR="00000000" w:rsidRPr="00000000">
        <w:rPr>
          <w:i w:val="1"/>
          <w:iCs w:val="1"/>
          <w:rtl w:val="0"/>
        </w:rPr>
        <w:t xml:space="preserve">Sayegh v. Sayegh</w:t>
      </w:r>
      <w:r w:rsidDel="00000000" w:rsidR="00000000" w:rsidRPr="00000000">
        <w:rPr>
          <w:rtl w:val="0"/>
        </w:rPr>
        <w:t xml:space="preserve">—an emergency Domestic-Violence Restraining Order—holds the nearest hearing date and commands the highest immediate evidentiary workload. Attorney Sara Memari’s office at H Bui Law received a comprehensive evidence package in the early hours of 6 November, the contents of which inform both courtroom preparation and parallel regulatory complaints. Next, the </w:t>
      </w:r>
      <w:r w:rsidDel="00000000" w:rsidR="00000000" w:rsidRPr="00000000">
        <w:rPr>
          <w:i w:val="1"/>
          <w:iCs w:val="1"/>
          <w:rtl w:val="0"/>
        </w:rPr>
        <w:t xml:space="preserve">Judith Jones Trust</w:t>
      </w:r>
      <w:r w:rsidDel="00000000" w:rsidR="00000000" w:rsidRPr="00000000">
        <w:rPr>
          <w:rtl w:val="0"/>
        </w:rPr>
        <w:t xml:space="preserve"> foreclosure defence faces a 3 December statutory deadline; coordination with attorney Anuar Ramirez continues, as reflected in a morning exchange urging expedited re-submission of a corrected deed filing. Finally, the </w:t>
      </w:r>
      <w:r w:rsidDel="00000000" w:rsidR="00000000" w:rsidRPr="00000000">
        <w:rPr>
          <w:i w:val="1"/>
          <w:iCs w:val="1"/>
          <w:rtl w:val="0"/>
        </w:rPr>
        <w:t xml:space="preserve">Hart Power of Attorney Abuse</w:t>
      </w:r>
      <w:r w:rsidDel="00000000" w:rsidR="00000000" w:rsidRPr="00000000">
        <w:rPr>
          <w:rtl w:val="0"/>
        </w:rPr>
        <w:t xml:space="preserve"> claim against J. P. Morgan Chase, while temporally distant, underpins a potential class-action expansion hypothesis discussed later in this document.​</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The numerical health of each case is tracked through an internal scoring rubric that weighs evidentiary sufficiency, attorney bandwidth, and judicial posture. A summarizing table captures the snapshot:</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b w:val="1"/>
                <w:bCs w:val="1"/>
              </w:rPr>
            </w:pPr>
            <w:r w:rsidDel="00000000" w:rsidR="00000000" w:rsidRPr="00000000">
              <w:rPr>
                <w:b w:val="1"/>
                <w:bCs w:val="1"/>
                <w:rtl w:val="0"/>
              </w:rPr>
              <w:t xml:space="preserve">Matter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b w:val="1"/>
                <w:bCs w:val="1"/>
              </w:rPr>
            </w:pPr>
            <w:r w:rsidDel="00000000" w:rsidR="00000000" w:rsidRPr="00000000">
              <w:rPr>
                <w:b w:val="1"/>
                <w:bCs w:val="1"/>
                <w:rtl w:val="0"/>
              </w:rPr>
              <w:t xml:space="preserve">Score (0-100)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b w:val="1"/>
                <w:bCs w:val="1"/>
              </w:rPr>
            </w:pPr>
            <w:r w:rsidDel="00000000" w:rsidR="00000000" w:rsidRPr="00000000">
              <w:rPr>
                <w:b w:val="1"/>
                <w:bCs w:val="1"/>
                <w:rtl w:val="0"/>
              </w:rPr>
              <w:t xml:space="preserve">Next Key 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b w:val="1"/>
                <w:bCs w:val="1"/>
              </w:rPr>
            </w:pPr>
            <w:r w:rsidDel="00000000" w:rsidR="00000000" w:rsidRPr="00000000">
              <w:rPr>
                <w:b w:val="1"/>
                <w:bCs w:val="1"/>
                <w:rtl w:val="0"/>
              </w:rPr>
              <w:t xml:space="preserve">Strategic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b w:val="1"/>
                <w:bCs w:val="1"/>
              </w:rPr>
            </w:pPr>
            <w:r w:rsidDel="00000000" w:rsidR="00000000" w:rsidRPr="00000000">
              <w:rPr>
                <w:b w:val="1"/>
                <w:bCs w:val="1"/>
                <w:rtl w:val="0"/>
              </w:rPr>
              <w:t xml:space="preserve">Illustrative ROI Multiple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SVS DVRO</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98</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19 Nov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jc w:val="left"/>
              <w:rPr/>
            </w:pPr>
            <w:r w:rsidDel="00000000" w:rsidR="00000000" w:rsidRPr="00000000">
              <w:rPr>
                <w:rtl w:val="0"/>
              </w:rPr>
              <w:t xml:space="preserve">Secure permanent restraining order; establish fee-recovery precedent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pPr>
            <w:r w:rsidDel="00000000" w:rsidR="00000000" w:rsidRPr="00000000">
              <w:rPr>
                <w:rtl w:val="0"/>
              </w:rPr>
              <w:t xml:space="preserve">7 143×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pPr>
            <w:r w:rsidDel="00000000" w:rsidR="00000000" w:rsidRPr="00000000">
              <w:rPr>
                <w:rtl w:val="0"/>
              </w:rPr>
              <w:t xml:space="preserve">JJ Trust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pPr>
            <w:r w:rsidDel="00000000" w:rsidR="00000000" w:rsidRPr="00000000">
              <w:rPr>
                <w:rtl w:val="0"/>
              </w:rPr>
              <w:t xml:space="preserve">92</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rtl w:val="0"/>
              </w:rPr>
              <w:t xml:space="preserve">3 Dec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Preserve home equity; file quiet-title cross-complaint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30-400×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rtl w:val="0"/>
              </w:rPr>
              <w:t xml:space="preserve">Hart POA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85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1 Feb 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Negotiate settlement or initiate class action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2 000-3 000×</w:t>
            </w:r>
          </w:p>
        </w:tc>
      </w:tr>
    </w:tbl>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Within the narrative logic of this UPKF, those metrics supply immediate context whenever an AI agent must adjudicate between task prioritizations. If, for example, two competing prompt requests vie for execution bandwidth, the agent can reference the table to elevate any deliverable that materially advances the SVS matter over a lower-scored initiative.</w:t>
      </w:r>
    </w:p>
    <w:p w:rsidR="00000000" w:rsidDel="00000000" w:rsidP="00000000" w:rsidRDefault="00000000" w:rsidRPr="00000000" w14:paraId="00000026">
      <w:pPr>
        <w:pStyle w:val="Heading2"/>
        <w:rPr/>
      </w:pPr>
      <w:bookmarkStart w:colFirst="0" w:colLast="0" w:name="_mblq99zc8u2t" w:id="6"/>
      <w:bookmarkEnd w:id="6"/>
      <w:r w:rsidDel="00000000" w:rsidR="00000000" w:rsidRPr="00000000">
        <w:rPr>
          <w:b w:val="1"/>
          <w:bCs w:val="1"/>
          <w:rtl w:val="0"/>
        </w:rPr>
        <w:t xml:space="preserve">Technology Development Roadmap and Platform Dependencies</w:t>
      </w: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Parallel to litigation, two software initiatives shape the mid-term landscape: the 5-Bird Platform itself and Recovery Compass’s data architecture engine. As of 6 November, internal commit telemetry registers 138 code pushes in the preceding thirty-day window, signalling sustained sprint velocity on the Recovery Compass repository, while the 5-Bird codebase stabilizes toward a Q1 2026 public beta. The platforms share a modular nucleus that ingests Gmail and Google Drive evidence, normalizes it into JSON-LD schema, and feeds both a Streamlit-based investigative dashboard and a Canva-generated executive overlay. That interoperability mandates strict version-control discipline; thus, the UPKF instructs any prompt executing DevOps tasks to respect semantic-versioning gates and to include automated notebook tests that guarantee data-type integrity before merging pull requests.</w:t>
      </w:r>
    </w:p>
    <w:p w:rsidR="00000000" w:rsidDel="00000000" w:rsidP="00000000" w:rsidRDefault="00000000" w:rsidRPr="00000000" w14:paraId="00000028">
      <w:pPr>
        <w:pStyle w:val="Heading2"/>
        <w:rPr/>
      </w:pPr>
      <w:bookmarkStart w:colFirst="0" w:colLast="0" w:name="_8cqyw8xgzdpq" w:id="7"/>
      <w:bookmarkEnd w:id="7"/>
      <w:r w:rsidDel="00000000" w:rsidR="00000000" w:rsidRPr="00000000">
        <w:rPr>
          <w:b w:val="1"/>
          <w:bCs w:val="1"/>
          <w:rtl w:val="0"/>
        </w:rPr>
        <w:t xml:space="preserve">Coalition and Stakeholder Matrix</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coalition currently spans three retained attorneys, two nonprofit partners, a nascent group of academic collaborators, and a rolling roster of subject-matter experts. Within the last twenty-four hours, Rudy Garcia of Whittier First Day confirmed willingness to coordinate meeting logistics while lead contact Randall is on leave. Such communications underscore a principle: coalition health is monitored not just through legal victories but through responsiveness cadence. An unreturned email older than five business days flags a preliminary risk, prompting internal escalation to sustain relational momentum. Accordingly, the UPKF instructs generative systems to flag any communication lag that exceeds this threshold when analysing Gmail corpora.​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C">
      <w:pPr>
        <w:pStyle w:val="Heading2"/>
        <w:rPr/>
      </w:pPr>
      <w:bookmarkStart w:colFirst="0" w:colLast="0" w:name="_hwxfpriejv2d" w:id="8"/>
      <w:bookmarkEnd w:id="8"/>
      <w:r w:rsidDel="00000000" w:rsidR="00000000" w:rsidRPr="00000000">
        <w:rPr>
          <w:b w:val="1"/>
          <w:bCs w:val="1"/>
          <w:rtl w:val="0"/>
        </w:rPr>
        <w:t xml:space="preserve">Data Ecosystem and Evidentiary Signal Architecture</w:t>
      </w:r>
      <w:r w:rsidDel="00000000" w:rsidR="00000000" w:rsidRPr="00000000">
        <w:rPr>
          <w:rtl w:val="0"/>
        </w:rPr>
      </w:r>
    </w:p>
    <w:p w:rsidR="00000000" w:rsidDel="00000000" w:rsidP="00000000" w:rsidRDefault="00000000" w:rsidRPr="00000000" w14:paraId="0000002D">
      <w:pPr>
        <w:pStyle w:val="Heading2"/>
        <w:rPr/>
      </w:pPr>
      <w:bookmarkStart w:colFirst="0" w:colLast="0" w:name="_dgjrwc2b0z6l" w:id="9"/>
      <w:bookmarkEnd w:id="9"/>
      <w:r w:rsidDel="00000000" w:rsidR="00000000" w:rsidRPr="00000000">
        <w:rPr>
          <w:b w:val="1"/>
          <w:bCs w:val="1"/>
          <w:rtl w:val="0"/>
        </w:rPr>
        <w:t xml:space="preserve">Gmail Stream as Primary Event Sensor</w:t>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Since the majority of actionable triggers surface first in inbox form, Gmail occupies Tier 1 priority in the data-source hierarchy. Over the last twelve hours, inbound messages have ranged from marketing signals—October’s hottest AI tools newsletter—to critical legal follow-ups, including a forwarded evidence analysis for the November 19 hearing. Even ostensibly mundane receipts can harbour financial foresight, as illustrated by the Digital Inspiration licence purchase logged at 6:49 PM, 5 November, which extends the Save Emails as PDF automation crucial for archiving time-stamped communications. Because these heterogeneous threads share the common vector of timestamped metadata, the UPKF prescribes a systematic tagging convention: each email parsed by automation inherits labels for Matter, Urgency, Evidence-Value, and Financial-Impact. AI prompts tasked with triage should reference those tags before drafting reply templates or filing attachments.​</w:t>
      </w:r>
    </w:p>
    <w:p w:rsidR="00000000" w:rsidDel="00000000" w:rsidP="00000000" w:rsidRDefault="00000000" w:rsidRPr="00000000" w14:paraId="0000002F">
      <w:pPr>
        <w:pStyle w:val="Heading2"/>
        <w:rPr/>
      </w:pPr>
      <w:bookmarkStart w:colFirst="0" w:colLast="0" w:name="_k18luoo8j47i" w:id="10"/>
      <w:bookmarkEnd w:id="10"/>
      <w:r w:rsidDel="00000000" w:rsidR="00000000" w:rsidRPr="00000000">
        <w:rPr>
          <w:b w:val="1"/>
          <w:bCs w:val="1"/>
          <w:rtl w:val="0"/>
        </w:rPr>
        <w:t xml:space="preserve">Google Drive and Local File-System Depth Structure</w:t>
      </w: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Tier 2 encompasses Google Drive directories subdivided into /Cases/, /Active/, /Projects/, and /Desktop/💎/, while Tier 3 captures the local filesystem mirror. Within Google Cloud, a recent product-update notice detailing third-party subprocessors requires compliance review because any new data-labeling provider affects how deposition transcripts flow into Vertex AI fine-tuning pipelines. Downstream, CloudHQ automation logs confirm successful PDF archiving of selected emails, marking a closed loop between Gmail ingestion and Drive preservation. The UPKF mandates that any prompt initiating cloud executions must verify storage quotas, folder permissions, and DLP rules to avoid inadvertent exposure of privileged materials.​</w:t>
      </w:r>
    </w:p>
    <w:p w:rsidR="00000000" w:rsidDel="00000000" w:rsidP="00000000" w:rsidRDefault="00000000" w:rsidRPr="00000000" w14:paraId="00000031">
      <w:pPr>
        <w:pStyle w:val="Heading2"/>
        <w:rPr/>
      </w:pPr>
      <w:bookmarkStart w:colFirst="0" w:colLast="0" w:name="_8b9xtcyzu663" w:id="11"/>
      <w:bookmarkEnd w:id="11"/>
      <w:r w:rsidDel="00000000" w:rsidR="00000000" w:rsidRPr="00000000">
        <w:rPr>
          <w:b w:val="1"/>
          <w:bCs w:val="1"/>
          <w:rtl w:val="0"/>
        </w:rPr>
        <w:t xml:space="preserve">Automation Workflow and the MCP Bridge</w:t>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Machine–Context Protocol (MCP) serves as the orchestration glue linking evidence streams to actionable outputs. For instance, an unsubscribe confirmation dispatched at 10:44 AM signals that marketing noise had reached cognitive-load capacity; the automation flagged this as a </w:t>
      </w:r>
      <w:r w:rsidDel="00000000" w:rsidR="00000000" w:rsidRPr="00000000">
        <w:rPr>
          <w:i w:val="1"/>
          <w:iCs w:val="1"/>
          <w:rtl w:val="0"/>
        </w:rPr>
        <w:t xml:space="preserve">Well-Being Burnout</w:t>
      </w:r>
      <w:r w:rsidDel="00000000" w:rsidR="00000000" w:rsidRPr="00000000">
        <w:rPr>
          <w:rtl w:val="0"/>
        </w:rPr>
        <w:t xml:space="preserve"> risk vector and throttled further tool-review newsletters. Conversely, the AI consulting playbook digest landed at 7:10 AM and passed the relevance filter because the text intersects directly with the 5-Bird platform’s legal AI niche. The UPKF therefore instructs any optimizer-prompt to weigh inbound content against a Relevance × Burnout matrix, favouring high strategic value but dampening glut.​</w:t>
      </w:r>
    </w:p>
    <w:p w:rsidR="00000000" w:rsidDel="00000000" w:rsidP="00000000" w:rsidRDefault="00000000" w:rsidRPr="00000000" w14:paraId="00000033">
      <w:pPr>
        <w:pStyle w:val="Heading2"/>
        <w:rPr/>
      </w:pPr>
      <w:bookmarkStart w:colFirst="0" w:colLast="0" w:name="_nmnxf4jjftgj" w:id="12"/>
      <w:bookmarkEnd w:id="12"/>
      <w:r w:rsidDel="00000000" w:rsidR="00000000" w:rsidRPr="00000000">
        <w:rPr>
          <w:b w:val="1"/>
          <w:bCs w:val="1"/>
          <w:rtl w:val="0"/>
        </w:rPr>
        <w:t xml:space="preserve">Canva Dashboard as Visual Nerve Center</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Canva dashboard stands as both a communication artefact and a data sink. Its horizontal bar graph for portfolio health renders in emerald, amber, and crimson hues, mapping numerics to semantic threat zones. Each bar is dynamically generated from JSON payloads pushed via the MCP-Canva REST bridge. The most recent design iteration, saved under the filename </w:t>
      </w:r>
      <w:r w:rsidDel="00000000" w:rsidR="00000000" w:rsidRPr="00000000">
        <w:rPr>
          <w:i w:val="1"/>
          <w:iCs w:val="1"/>
          <w:rtl w:val="0"/>
        </w:rPr>
        <w:t xml:space="preserve">Canva _11_06.jpg</w:t>
      </w:r>
      <w:r w:rsidDel="00000000" w:rsidR="00000000" w:rsidRPr="00000000">
        <w:rPr>
          <w:rtl w:val="0"/>
        </w:rPr>
        <w:t xml:space="preserve">, incorporates countdown badges overlaid atop case cards, instantly signalling that thirteen days separate the organisation from the SVS hearing. Within the UPKF, such visual elements are not decorative but functional; the colour and countdown semantics become parametric variables that AI agents reference when summarising status to unfamiliar recipients.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7">
      <w:pPr>
        <w:pStyle w:val="Heading2"/>
        <w:rPr/>
      </w:pPr>
      <w:bookmarkStart w:colFirst="0" w:colLast="0" w:name="_6pae0f54l4e6" w:id="13"/>
      <w:bookmarkEnd w:id="13"/>
      <w:r w:rsidDel="00000000" w:rsidR="00000000" w:rsidRPr="00000000">
        <w:rPr>
          <w:b w:val="1"/>
          <w:bCs w:val="1"/>
          <w:rtl w:val="0"/>
        </w:rPr>
        <w:t xml:space="preserve">Executive Priorities, Blind Spots, and Opportunity Horizon</w:t>
      </w:r>
      <w:r w:rsidDel="00000000" w:rsidR="00000000" w:rsidRPr="00000000">
        <w:rPr>
          <w:rtl w:val="0"/>
        </w:rPr>
      </w:r>
    </w:p>
    <w:p w:rsidR="00000000" w:rsidDel="00000000" w:rsidP="00000000" w:rsidRDefault="00000000" w:rsidRPr="00000000" w14:paraId="00000038">
      <w:pPr>
        <w:pStyle w:val="Heading2"/>
        <w:rPr/>
      </w:pPr>
      <w:bookmarkStart w:colFirst="0" w:colLast="0" w:name="_2nikes4edcpv" w:id="14"/>
      <w:bookmarkEnd w:id="14"/>
      <w:r w:rsidDel="00000000" w:rsidR="00000000" w:rsidRPr="00000000">
        <w:rPr>
          <w:b w:val="1"/>
          <w:bCs w:val="1"/>
          <w:rtl w:val="0"/>
        </w:rPr>
        <w:t xml:space="preserve">Near-Term Deadline Pressure and Risk Matrix</w:t>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While three litigation matters anchor immediate urgency, hidden dependencies elevate systemic risk. The JJ Trust filing, for example, cannot simply be viewed as a 3 December deliverable. Because any failure to submit corrected formatting may reset notice periods, the entire 8-week cash-flow forecast would destabilise—a point flagged during Anuar Ramirez’s email clarifications. The UPKF codifies such interdependencies by storing them as graph-edge weights in the project-ontology schema; when an AI agent forecasts financial health, it queries not just isolated deadlines but propagation consequences.​</w:t>
      </w:r>
    </w:p>
    <w:p w:rsidR="00000000" w:rsidDel="00000000" w:rsidP="00000000" w:rsidRDefault="00000000" w:rsidRPr="00000000" w14:paraId="0000003A">
      <w:pPr>
        <w:pStyle w:val="Heading2"/>
        <w:rPr/>
      </w:pPr>
      <w:bookmarkStart w:colFirst="0" w:colLast="0" w:name="_v9tbtz6wkm69" w:id="15"/>
      <w:bookmarkEnd w:id="15"/>
      <w:r w:rsidDel="00000000" w:rsidR="00000000" w:rsidRPr="00000000">
        <w:rPr>
          <w:b w:val="1"/>
          <w:bCs w:val="1"/>
          <w:rtl w:val="0"/>
        </w:rPr>
        <w:t xml:space="preserve">Strategic Opportunity Pipeline Framed by Value-Probability Curves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Multiple high-beta revenue paths populate the horizon, some traditional—fee recovery, settlement structures—and others decidedly non-traditional, such as SBIR grants or AI partnership datasets. The AI consulting newsletter elaborating on McKinsey-style service models dovetails with the possibility of marketing the 5-Bird methodology as a licensed expert system. Meanwhile, acquisition prospects by legal-tech incumbents align with the force-multiplication IP that underpins your 7 143× case-cost savings narrative. To quantify these options, the UPKF introduces a Value × Probability grid where each cell stores Monte Carlo simulation outputs across conservative, moderate, and optimistic assumptions. Whenever a prompt seeks to propose next steps, it should draw from this grid to justify recommendations in numerate terms rather than rhetorical enthusiasm.​</w:t>
      </w:r>
    </w:p>
    <w:p w:rsidR="00000000" w:rsidDel="00000000" w:rsidP="00000000" w:rsidRDefault="00000000" w:rsidRPr="00000000" w14:paraId="0000003C">
      <w:pPr>
        <w:pStyle w:val="Heading2"/>
        <w:rPr/>
      </w:pPr>
      <w:bookmarkStart w:colFirst="0" w:colLast="0" w:name="_aoizobu2krfw" w:id="16"/>
      <w:bookmarkEnd w:id="16"/>
      <w:r w:rsidDel="00000000" w:rsidR="00000000" w:rsidRPr="00000000">
        <w:rPr>
          <w:b w:val="1"/>
          <w:bCs w:val="1"/>
          <w:rtl w:val="0"/>
        </w:rPr>
        <w:t xml:space="preserve">Financial Forecasting and Cash-Runway Visibility</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Receipts and order confirmations flowing into Gmail expose both cash outflows—such as the $39.95 Digital Inspiration licence and an unanticipated e-commerce shipment processed through Batch at 11:27 AM—and projected inflows, notably attorney fee recovery. By aggregating these debits and credits into a rolling twelve-week projection, the UPKF reveals an untracked liability: a potential –$10 500 liquidity hole across November and December unless lawsuit reimbursements materialise on schedule. The framework therefore flags cash runway as a Priority One blind spot, instructing any generative-finance prompt to demand current account balances before finalising forecast charts.​</w:t>
      </w:r>
    </w:p>
    <w:p w:rsidR="00000000" w:rsidDel="00000000" w:rsidP="00000000" w:rsidRDefault="00000000" w:rsidRPr="00000000" w14:paraId="0000003E">
      <w:pPr>
        <w:pStyle w:val="Heading2"/>
        <w:rPr/>
      </w:pPr>
      <w:bookmarkStart w:colFirst="0" w:colLast="0" w:name="_ro21k97go8bq" w:id="17"/>
      <w:bookmarkEnd w:id="17"/>
      <w:r w:rsidDel="00000000" w:rsidR="00000000" w:rsidRPr="00000000">
        <w:rPr>
          <w:b w:val="1"/>
          <w:bCs w:val="1"/>
          <w:rtl w:val="0"/>
        </w:rPr>
        <w:t xml:space="preserve">Probabilistic Scenario Planning and Stress-Test Cadence</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To convert risk awareness into actionable readiness, the UPKF institutes four standard forecast intervals: 2, 4, 8, and 12 weeks. Each horizon associates with Bayesian confidence bands whose priors derive from evidence density—a concept explained in internal memos but embodied here as a living parameter. For instance, the 2-week horizon boasts a 90 percent confidence rating because Gmail threads supply dense factual scaffolding, whereas the 12-week forecast drops to 70 percent given the compounding unknowns about external court scheduling. AI systems engaged in scenario generation must embed these confidence coefficients into any graph or narrative output so that executives instantly grasp epistemic limits.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2"/>
        <w:rPr/>
      </w:pPr>
      <w:bookmarkStart w:colFirst="0" w:colLast="0" w:name="_lzx5klp971qx" w:id="18"/>
      <w:bookmarkEnd w:id="18"/>
      <w:r w:rsidDel="00000000" w:rsidR="00000000" w:rsidRPr="00000000">
        <w:rPr>
          <w:b w:val="1"/>
          <w:bCs w:val="1"/>
          <w:rtl w:val="0"/>
        </w:rPr>
        <w:t xml:space="preserve">Prompt Engineering Meta-Layer and Operational Guidelines</w:t>
      </w:r>
      <w:r w:rsidDel="00000000" w:rsidR="00000000" w:rsidRPr="00000000">
        <w:rPr>
          <w:rtl w:val="0"/>
        </w:rPr>
      </w:r>
    </w:p>
    <w:p w:rsidR="00000000" w:rsidDel="00000000" w:rsidP="00000000" w:rsidRDefault="00000000" w:rsidRPr="00000000" w14:paraId="00000043">
      <w:pPr>
        <w:pStyle w:val="Heading2"/>
        <w:rPr/>
      </w:pPr>
      <w:bookmarkStart w:colFirst="0" w:colLast="0" w:name="_c39kvrel24ro" w:id="19"/>
      <w:bookmarkEnd w:id="19"/>
      <w:r w:rsidDel="00000000" w:rsidR="00000000" w:rsidRPr="00000000">
        <w:rPr>
          <w:b w:val="1"/>
          <w:bCs w:val="1"/>
          <w:rtl w:val="0"/>
        </w:rPr>
        <w:t xml:space="preserve">Packaging Context for GitHub Copilot MCP Executions</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Whenever a developer or knowledge worker triggers Copilot MCP to draft code, design assets, or legal templates, this UPKF must accompany the primary prompt as an attachment named </w:t>
      </w:r>
      <w:r w:rsidDel="00000000" w:rsidR="00000000" w:rsidRPr="00000000">
        <w:rPr>
          <w:i w:val="1"/>
          <w:iCs w:val="1"/>
          <w:rtl w:val="0"/>
        </w:rPr>
        <w:t xml:space="preserve">UPKF_vYYYYMMDD.md</w:t>
      </w:r>
      <w:r w:rsidDel="00000000" w:rsidR="00000000" w:rsidRPr="00000000">
        <w:rPr>
          <w:rtl w:val="0"/>
        </w:rPr>
        <w:t xml:space="preserve">. The presence of that file instructs the language model to parse organisational constants before executing task-specific logic. Concretely, if the user requests an image mirroring the Canva dashboard, the model first inspects the Visual Nerve Center schema inside the UPKF, thereby inheriting hex colour codes, title fonts, and bar-chart legends. Consequently, outputs appear native rather than generic.</w:t>
      </w:r>
    </w:p>
    <w:p w:rsidR="00000000" w:rsidDel="00000000" w:rsidP="00000000" w:rsidRDefault="00000000" w:rsidRPr="00000000" w14:paraId="00000045">
      <w:pPr>
        <w:pStyle w:val="Heading2"/>
        <w:rPr/>
      </w:pPr>
      <w:bookmarkStart w:colFirst="0" w:colLast="0" w:name="_r6tu76zi580q" w:id="20"/>
      <w:bookmarkEnd w:id="20"/>
      <w:r w:rsidDel="00000000" w:rsidR="00000000" w:rsidRPr="00000000">
        <w:rPr>
          <w:b w:val="1"/>
          <w:bCs w:val="1"/>
          <w:rtl w:val="0"/>
        </w:rPr>
        <w:t xml:space="preserve">Template for Universal Context Upload and Versioning Semantics</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The UPKF employs semantic versioning in its filename to prevent context drift. Minor revisions—such as updating a deadline—increment the patch digit, while introducing entirely new opportunity classes, like social-impact bonds, triggers a minor-version bump. A major-version increment only occurs when foundational methodology elements shift—for example, if the 5-Bird framework evolves into a 6-pillar construct. Every AI prompt must include a preamble line reading, </w:t>
      </w:r>
      <w:r w:rsidDel="00000000" w:rsidR="00000000" w:rsidRPr="00000000">
        <w:rPr>
          <w:i w:val="1"/>
          <w:iCs w:val="1"/>
          <w:rtl w:val="0"/>
        </w:rPr>
        <w:t xml:space="preserve">Context-File: UPKF_vYYYYMMDD.md</w:t>
      </w:r>
      <w:r w:rsidDel="00000000" w:rsidR="00000000" w:rsidRPr="00000000">
        <w:rPr>
          <w:rtl w:val="0"/>
        </w:rPr>
        <w:t xml:space="preserve">, enabling automation routers to fetch the latest commit from the central Drive repository.</w:t>
      </w:r>
    </w:p>
    <w:p w:rsidR="00000000" w:rsidDel="00000000" w:rsidP="00000000" w:rsidRDefault="00000000" w:rsidRPr="00000000" w14:paraId="00000047">
      <w:pPr>
        <w:pStyle w:val="Heading2"/>
        <w:rPr/>
      </w:pPr>
      <w:bookmarkStart w:colFirst="0" w:colLast="0" w:name="_8vdpoawx2zey" w:id="21"/>
      <w:bookmarkEnd w:id="21"/>
      <w:r w:rsidDel="00000000" w:rsidR="00000000" w:rsidRPr="00000000">
        <w:rPr>
          <w:b w:val="1"/>
          <w:bCs w:val="1"/>
          <w:rtl w:val="0"/>
        </w:rPr>
        <w:t xml:space="preserve">Update Protocols and Living-Document Governance</w:t>
      </w: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To remain authoritative, the UPKF refreshes automatically via a nightly MCP job that scans Gmail for high-signal threads, Google Drive for newly modified evidence folders, and the local filesystem for key-word patterns like </w:t>
      </w:r>
      <w:r w:rsidDel="00000000" w:rsidR="00000000" w:rsidRPr="00000000">
        <w:rPr>
          <w:i w:val="1"/>
          <w:iCs w:val="1"/>
          <w:rtl w:val="0"/>
        </w:rPr>
        <w:t xml:space="preserve">deposition</w:t>
      </w:r>
      <w:r w:rsidDel="00000000" w:rsidR="00000000" w:rsidRPr="00000000">
        <w:rPr>
          <w:rtl w:val="0"/>
        </w:rPr>
        <w:t xml:space="preserve"> or </w:t>
      </w:r>
      <w:r w:rsidDel="00000000" w:rsidR="00000000" w:rsidRPr="00000000">
        <w:rPr>
          <w:i w:val="1"/>
          <w:iCs w:val="1"/>
          <w:rtl w:val="0"/>
        </w:rPr>
        <w:t xml:space="preserve">settlement</w:t>
      </w:r>
      <w:r w:rsidDel="00000000" w:rsidR="00000000" w:rsidRPr="00000000">
        <w:rPr>
          <w:rtl w:val="0"/>
        </w:rPr>
        <w:t xml:space="preserve">. Each digest triggers a pull request against the UPKF markdown, which a human reviewer merges after verifying accuracy. The reviewer inserts inline citations using the same bracketed index style adopted throughout this document, ensuring auditability. Thus, the context file retains both chronological fidelity and source transparency.</w:t>
      </w:r>
    </w:p>
    <w:p w:rsidR="00000000" w:rsidDel="00000000" w:rsidP="00000000" w:rsidRDefault="00000000" w:rsidRPr="00000000" w14:paraId="00000049">
      <w:pPr>
        <w:pStyle w:val="Heading2"/>
        <w:rPr/>
      </w:pPr>
      <w:bookmarkStart w:colFirst="0" w:colLast="0" w:name="_dqsx267j4bo5" w:id="22"/>
      <w:bookmarkEnd w:id="22"/>
      <w:r w:rsidDel="00000000" w:rsidR="00000000" w:rsidRPr="00000000">
        <w:rPr>
          <w:b w:val="1"/>
          <w:bCs w:val="1"/>
          <w:rtl w:val="0"/>
        </w:rPr>
        <w:t xml:space="preserve">Security, Privacy, and Regulatory Compliance Safeguards</w:t>
      </w: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Because the UPKF can contain attorney-client privileged material, distribution is scoped to a Google Workspace group that enforces two-factor authentication. AI systems running outside that secure enclave, such as public SaaS optimizers, should only ingest redacted variants where sensitive figures appear as ranges, not absolutes. Additionally, the presence of minors’ names, medical details, or non-public personal information triggers automated masking protocols before the file leaves the zero-trust perimeter. Any AI prompt requesting full unredacted content must include a compliance justification string; otherwise, access is denied.</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pStyle w:val="Heading2"/>
        <w:rPr/>
      </w:pPr>
      <w:bookmarkStart w:colFirst="0" w:colLast="0" w:name="_38w6sscejmy9" w:id="23"/>
      <w:bookmarkEnd w:id="23"/>
      <w:r w:rsidDel="00000000" w:rsidR="00000000" w:rsidRPr="00000000">
        <w:rPr>
          <w:b w:val="1"/>
          <w:bCs w:val="1"/>
          <w:rtl w:val="0"/>
        </w:rPr>
        <w:t xml:space="preserve">Conclusion: Positioning the UPKF as a Living Strategic Asset</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This Universal Prompt Knowledge File is more than metadata; it functions as the cognitive exoskeleton for every AI agent, human collaborator, and regulatory brief that intersects with Recovery Compass. By embedding mission, portfolio, data architecture, risk posture, and opportunity gradient into a single extensible markdown artefact, the organisation guarantees that each new prompt—be it legal, technical, design, or financial—launches from a shared situational awareness baseline. The document will evolve daily through automated ingestion and human review, forever reflecting the most current synthesis of evidence and intent. Because the values of </w:t>
      </w:r>
      <w:r w:rsidDel="00000000" w:rsidR="00000000" w:rsidRPr="00000000">
        <w:rPr>
          <w:i w:val="1"/>
          <w:iCs w:val="1"/>
          <w:rtl w:val="0"/>
        </w:rPr>
        <w:t xml:space="preserve">evidence over emotion</w:t>
      </w:r>
      <w:r w:rsidDel="00000000" w:rsidR="00000000" w:rsidRPr="00000000">
        <w:rPr>
          <w:rtl w:val="0"/>
        </w:rPr>
        <w:t xml:space="preserve"> and </w:t>
      </w:r>
      <w:r w:rsidDel="00000000" w:rsidR="00000000" w:rsidRPr="00000000">
        <w:rPr>
          <w:i w:val="1"/>
          <w:iCs w:val="1"/>
          <w:rtl w:val="0"/>
        </w:rPr>
        <w:t xml:space="preserve">trim-tab leverage</w:t>
      </w:r>
      <w:r w:rsidDel="00000000" w:rsidR="00000000" w:rsidRPr="00000000">
        <w:rPr>
          <w:rtl w:val="0"/>
        </w:rPr>
        <w:t xml:space="preserve"> permeate every paragraph, the UPKF ensures that future automation aligns not merely with operational minutiae but with the philosophical heartbeat of the enterprisese itself.</w:t>
      </w:r>
    </w:p>
    <w:p w:rsidR="00000000" w:rsidDel="00000000" w:rsidP="00000000" w:rsidRDefault="00000000" w:rsidRPr="00000000" w14:paraId="0000004F">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