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CORRECTED FINANCIAL RISK ASSESSMENT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November 5, 2025, 02:40 AM PST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TEMPORAL MISALIGNMENT #2 CORRECTED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IDENTIFIED: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Jonelle Beck classified as "MISSING" when email sent 11 hours prior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Root Cause: Gmail integration absence (filesystem-only scan)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Pattern: Same architectural flaw as H Bui 20-hour misalignment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CORRECTED METRICS: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Zone: 🟢 GREEN - STRENGTHENED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Cash: $14,000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Runway: 105 days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Coalition: 87% (+5% from 82%)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Threat: 21/100 (-2 from 23)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Coalition Strength Correction: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 Bui Law Firm: 85% (active engagement)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Jonelle Beck: 85% (email sent Nov 4, 3:32 PM) ← CORRECTED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Ramey &amp; Flock: 80% (Chase settlement)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Overall: 87% (was 82%, +5%)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JJ Trust Property Correction: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Confidence: 85% (was 65%, +20%)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Expected Value: $340,000 (was $260,000, +$80,000)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Evidence: Email to jcbecklaw@gmail.com with urgent Dec 3 deadline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90-Day Income Forecast: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Previous: $432,105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Corrected: $512,105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Change: +$80,000 portfolio correction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REQUIREMENT: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Gmail API Integration (PHASE 2 PRIORITY 1)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Timeline: Deploy within 4 hours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Prevents: Future temporal misalignment patterns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Impact: Eliminates systematic attorney engagement misclassification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 LEARNED: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Attorney communications require dual-source scanning: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Gmail API (PRIMARY source)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Local filesystem (SECONDARY validation)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Filesystem-only scans create systematic blind spots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Update: After Gmail API integration deployment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