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assessment. Claude August two, the four point 40 cents, million dollar discovery.md on ship. Week three. Plan the Claude August two, the in n4 point 4 million discovery.md. Document presents a profound validation of recovery, compasses core methodology and highlights a massive, quantifiable opportunity within the nonprofit sector, this discovery centered on the power of Environmental Response design ERD to reveal and capture undocumented services directly reinforces the strategic importance of precise documentation, quantifiable impact measurement and automated value capture, overall impact the document does not necessitate a fundamental revision of the ship Week Three plan, instead, it provides a critical, high impact lens through which the existing plan's objectives should be viewed and executed. The technical tasks outlined for ship week three, Prometheus, instrumentation, Grafana, PID control, KPI automation, are now even more directly aligned with the overarching goal of enabling this massive, previously hidden value, specific reinforcements for ship. Week three, objectives. Day one, Prometheus bootstrap with Python exporters. This directly supports the need for robust, granular data collection to quantify undocumented services and track the impact of ERD. The metrics collected will be crucial for demonstrating the $4.4 million discovery model at scale. Day two, instrument all week two components plus OWASP scan setup, instrumenting components ensures that every touchpoint of service delivery and documentation capture is measurable. This is vital for identifying and closing the documentation gap. Part Two, and validating the 10 second touchpoints of urge. Part three, OWASP scan ensures the integrity of the system handling sensitive financial and client data. Day three, Grafana dashboards plus PII encryption layer, Grafana dashboards are the direct technical manifestation of the victory dashboard story. Part Four, they will visualize the dollars captured and services discovered providing the psychological shift and motivation described in the document. PLL encryption is critical for maintaining trust and compliance, especially when dealing with client data that underpins the $87 reimbursement day four. PID controller integration, this objective, focusing on autonomous optimization and control directly aligns with the ER D principle of making desired behavior documentation inevitable. A PID controller can ensure that documentation rates are continuously optimized, preventing future documentation gaps and maximizing value capture day five, board KPI automation, automating board KPIs directly translates the 4.4 million discovery into actionable, high level insights for governance. This ensures that the annual funding gap, 4.4 million, part two and the potential hidden value, $44 billion annually, Part V are continuously monitored and reported, reinforcing the business model and replication opportunity conclusion the Claude, August su the four point, 40 cents, million dollar discovery.md document serves as a powerful strategic imperative, underscoring the profound importance of every technical task in ship. Week three, the current plan is not merely relevant. It is mission critical for operationalizing the insights from this discovery and unlocking the vast hidden value within the nonprofit sector, no revision to the technical objectives of ship Week Three is necessary. Rather their strategic significance has been amplified.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