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6f8f9" w:space="0" w:sz="6" w:val="single"/>
          <w:left w:color="f6f8f9" w:space="0" w:sz="6" w:val="single"/>
          <w:bottom w:color="f6f8f9" w:space="0" w:sz="6" w:val="single"/>
          <w:right w:color="f6f8f9" w:space="0" w:sz="6" w:val="single"/>
          <w:insideH w:color="f6f8f9" w:space="0" w:sz="6" w:val="single"/>
          <w:insideV w:color="f6f8f9" w:space="0" w:sz="6" w:val="single"/>
        </w:tblBorders>
        <w:tblLayout w:type="fixed"/>
        <w:tblLook w:val="0600"/>
      </w:tblPr>
      <w:tblGrid>
        <w:gridCol w:w="217.29541497388254"/>
        <w:gridCol w:w="1067.463726059199"/>
        <w:gridCol w:w="1507.486941381312"/>
        <w:gridCol w:w="871.8978525827047"/>
        <w:gridCol w:w="806.7092280905398"/>
        <w:gridCol w:w="2444.5734184561807"/>
        <w:gridCol w:w="2444.5734184561807"/>
        <w:tblGridChange w:id="0">
          <w:tblGrid>
            <w:gridCol w:w="217.29541497388254"/>
            <w:gridCol w:w="1067.463726059199"/>
            <w:gridCol w:w="1507.486941381312"/>
            <w:gridCol w:w="871.8978525827047"/>
            <w:gridCol w:w="806.7092280905398"/>
            <w:gridCol w:w="2444.5734184561807"/>
            <w:gridCol w:w="2444.573418456180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Thank you for providing the full context. Based on the "III. 12-VECTOR COMMAND BOARD" section and the table's contents, the optimal name for this spreadsheet remains: **12-VECTOR COMMAND BOARD: STRENGTH RATING &amp; ULTIMATE OUTCOMES**.</w:t>
            </w:r>
          </w:p>
        </w:tc>
        <w:tc>
          <w:tcPr>
            <w:tcBorders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CASE THEATER</w:t>
            </w:r>
          </w:p>
        </w:tc>
        <w:tc>
          <w:tcPr>
            <w:tcBorders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RATING</w:t>
            </w:r>
          </w:p>
        </w:tc>
        <w:tc>
          <w:tcPr>
            <w:tcBorders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TREND</w:t>
            </w:r>
          </w:p>
        </w:tc>
        <w:tc>
          <w:tcPr>
            <w:tcBorders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REASONING FOR RATING CHANGE</w:t>
            </w:r>
          </w:p>
        </w:tc>
        <w:tc>
          <w:tcPr>
            <w:tcBorders>
              <w:bottom w:color="3e4791" w:space="0" w:sz="6" w:val="single"/>
              <w:right w:color="3e4791" w:space="0" w:sz="6" w:val="single"/>
            </w:tcBorders>
            <w:shd w:fill="535fc1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ULTIMATE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V-01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Shellpoint Foreclosure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88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HTTP 500/400 logs convert a default into a servicer failure.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Permanent stay of sale / SII Recognition.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V-02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J.P. Morgan Chase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92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183MB video proof of ATM rejection vs $2,300 bot-theft is an ADA nuke.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Settlement of 6,300.00 – 12,000.00 USD.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V-03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Gary William Jones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Nicora Admission ($10,985) + Bad Faith established via iPhone spoliation.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Judgment of 32,955.00 USD (Double Damages).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V-04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Fahed Sayegh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273x Speed Premium ($11k payoff) incinerates indigency claim for Jan 6.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Sanctions / Contempt / Income Imputation.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V-05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Margie Sayegh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Uniformed Sheriff service bypasses all electronic stalking evasion.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Permanent Civil Harassment Injunction.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V-06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H. Bui Law Firm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STABLE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Rule 1.7 Conflict (Chatsworth abandonment) is an ethics guillotine.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Full fee refund via Mandatory Arbitration.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V-07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Kirk Kolodji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87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$11k Zelle payoff within 96 hours of poverty plea proves collusion.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Disqualification / State Bar Disciplinary Referral.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V-08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Google Workspace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82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Case #43604638 documents 100% loss of business infrastructure.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Full restitution of 10,000.00 USD.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V-09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UP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Linked to bank fiduciary failure; quantified as consequential damage.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Service credits / Business interruption payout.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V-10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Kevin Chen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STABLE</w:t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Liquidated damages clause in notarized demand is strict liability.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Settlement or Judgment of 115,000.00 USD.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V-11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AT&amp;T Service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78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STABLE</w:t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TCPA violations and 2FA lockout preventing account management.</w:t>
            </w:r>
          </w:p>
        </w:tc>
        <w:tc>
          <w:tcPr>
            <w:tcBorders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Statutory damages / Settlement of 4,000.00 USD.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90.90909090909093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3e4791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V-12</w:t>
            </w:r>
          </w:p>
        </w:tc>
        <w:tc>
          <w:tcPr>
            <w:tcBorders>
              <w:bottom w:color="3e4791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Retail/AI Churn</w:t>
            </w:r>
          </w:p>
        </w:tc>
        <w:tc>
          <w:tcPr>
            <w:tcBorders>
              <w:bottom w:color="3e4791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right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>
            <w:tcBorders>
              <w:bottom w:color="3e4791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STABLE</w:t>
            </w:r>
          </w:p>
        </w:tc>
        <w:tc>
          <w:tcPr>
            <w:tcBorders>
              <w:bottom w:color="3e4791" w:space="0" w:sz="6" w:val="single"/>
              <w:right w:color="f6f8f9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High-velocity micro-transactions without gating allow mass arbitration.</w:t>
            </w:r>
          </w:p>
        </w:tc>
        <w:tc>
          <w:tcPr>
            <w:tcBorders>
              <w:bottom w:color="3e4791" w:space="0" w:sz="6" w:val="single"/>
              <w:right w:color="3e4791" w:space="0" w:sz="6" w:val="single"/>
            </w:tcBorders>
            <w:shd w:fill="f6f8f9" w:val="clear"/>
            <w:tcMar>
              <w:top w:w="30.0" w:type="dxa"/>
              <w:left w:w="120.0" w:type="dxa"/>
              <w:bottom w:w="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shd w:fill="auto" w:val="clear"/>
                <w:vertAlign w:val="baseline"/>
                <w:rtl w:val="0"/>
              </w:rPr>
              <w:t xml:space="preserve">Global nuisance settlements totaling 5,000.00+ USD.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434343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