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WFD x Recovery Compass Fully Executable and Signed MOU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Whittier first day and recovery compass memorandum of understanding, signed August 27 2025 memorandum of understanding, data, systems and research partnership, one strategic mandate, our partnership establishes Whittier first day WFD as the implementation and data collection site for a formal case study validating the Environmental Response design ERD model as an evidence based practice recovery compass RC provides pro bono data systems architecture in exchange for this unique research opportunity, two data architecture and standardization. Master program data sheet, all program data will be captured exclusively in the unified WFD master program data sheet designed by RC, standardized fields, client ID, program name, intake, date, exit, date, exit, destination, housing placement, date and length of stay, los, s calculated automatically as exit date minus intake date. Data integrity, WFD will maintain accuracy and completeness. RC will provide ongoing support, including conditional formatting to highlight successful permanent housing placements. Three expanded scope and outcomes. Ebp validation, consistent, standardized data collection will enable ERD to become a formally recognized evidence based practice, unlocking insurance reimbursement and new funding pathways case study and publication, RC will co author a case study detailing implementation and outcomes for submission to peer reviewed journals and presentation to investors, academic bodies and funders. Visibility and advocacy insights may be shared via professional social media platforms, conferences, press interviews and speaking engagements to position WFD and RC as leaders in human centered recovery funding and partnerships. Demonstrated impact will underpin grant applications and attract both traditional and innovative funding streams, first day memorandum of understanding, data, systems and research partnership, four roles and responsibilities and recovery compass design, maintain and update the master program, data sheet, lead ebp validation, case study authorship and all outward facing communications. Manage intellectual property and promotion rights and Whittier first day populate data fields in a timely and accurate manner, enforce the unified data protocol. Agency wide, support, publication, social outreach and funding efforts. Appoint a project lead with authority to ensure compliance five intellectual property and ownership. All intellectual property related to ERD, the recovery compass platform and validation pathway remains the sole property of RC. All source data remains the property of WFD, both parties will co own the case study and jointly review any external dissemination. Six term and termination this agreement commences September 1, 2025 and continues for six months. The term may be Eric B Jones, Eric Jones, founder, recovery compass, date, August 29 2025 Donna Gally fear, Dr Donna Gallup, CEO and president Whittier, first day. Date, August 27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