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don't even know where to start with the irony in doing a trauma informed, oriented project and then seeing the final execution, implementation or plan summary, assuring me that that this time it's going to be more trauma informed, and then, and then just failing. Just egregious fail. Freddie is not my lawyer. I am the chief advocate domestic violence advocate for Nuha sage, her husband, the monster is Freddie? Okay? I mean, we've been chatting for months now, months, and supposedly you have this adaptive, contextual, sequential, you know, memory, knowledge, adaptively, and it's not working. You just said that. Freddie's my lawyer. He's, he's, he's a respondent. He's battling Nuha. And I don't have kids. Nuha has two kids, and I, and I kind of am kind of a proxy, because Freddie is not much of a of a husband or a father. So those aren't, are not my kids, but I, you know, I have a lot of love for them, and if you can't get if you can't assure me that you you can get the fundamentals, just the basics, right after chatting for more than two months, I'm really concerned, and I'm going to be evaluating other providers and sharing this on social media, because this is a lot of people are need To know this, unless you can assure me that there's something in place so it won't happen.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