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1.96840826245534"/>
        <w:gridCol w:w="3118.4835965978127"/>
        <w:gridCol w:w="6059.547995139732"/>
        <w:tblGridChange w:id="0">
          <w:tblGrid>
            <w:gridCol w:w="181.96840826245534"/>
            <w:gridCol w:w="3118.4835965978127"/>
            <w:gridCol w:w="6059.54799513973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Tactical Domain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Priority 1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Evidence Receipt/Review: Confirming that the comprehensive evidence package was received and reviewed.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Priority 2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November 19 Hearing Strategy: Determining the primary objective, motion strategy, and specific evidence utilization plans (e.g., the Exhibit G Audio).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Priority 3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Attorney Engagement Assessment: Assessing Sara's recognition of the RICO pattern and her plan to coordinate with agencies like DCFS.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Priority 4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Coordination/Communication: Finalizing next steps and assessing overall preparedness.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Sources: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right w:color="000000" w:space="0" w:sz="0" w:val="nil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https://drive.google.com/open?id=1ktkBwws0Ti6vaRCkpTdlgmp5PKu0-M1C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1155cc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155cc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ktkBwws0Ti6vaRCkpTdlgmp5PKu0-M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